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77470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9" w:lineRule="exact"/>
        <w:rPr>
          <w:sz w:val="24"/>
          <w:szCs w:val="24"/>
          <w:color w:val="auto"/>
        </w:rPr>
      </w:pPr>
    </w:p>
    <w:p>
      <w:pPr>
        <w:ind w:left="1360" w:hanging="737"/>
        <w:spacing w:after="0"/>
        <w:tabs>
          <w:tab w:leader="none" w:pos="1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w:t>
      </w:r>
    </w:p>
    <w:p>
      <w:pPr>
        <w:ind w:left="1360"/>
        <w:spacing w:after="0" w:line="237" w:lineRule="auto"/>
        <w:rPr>
          <w:sz w:val="20"/>
          <w:szCs w:val="20"/>
          <w:color w:val="auto"/>
        </w:rPr>
      </w:pPr>
      <w:r>
        <w:rPr>
          <w:rFonts w:ascii="Arial" w:cs="Arial" w:eastAsia="Arial" w:hAnsi="Arial"/>
          <w:sz w:val="22"/>
          <w:szCs w:val="22"/>
          <w:b w:val="1"/>
          <w:bCs w:val="1"/>
          <w:color w:val="auto"/>
        </w:rPr>
        <w:t>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2006</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 w:lineRule="exact"/>
        <w:rPr>
          <w:sz w:val="24"/>
          <w:szCs w:val="24"/>
          <w:color w:val="auto"/>
        </w:rPr>
      </w:pPr>
    </w:p>
    <w:p>
      <w:pPr>
        <w:ind w:left="1360" w:hanging="737"/>
        <w:spacing w:after="0"/>
        <w:tabs>
          <w:tab w:leader="none" w:pos="13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w:t>
      </w:r>
    </w:p>
    <w:p>
      <w:pPr>
        <w:ind w:left="1360"/>
        <w:spacing w:after="0" w:line="237" w:lineRule="auto"/>
        <w:rPr>
          <w:sz w:val="20"/>
          <w:szCs w:val="20"/>
          <w:color w:val="auto"/>
        </w:rPr>
      </w:pPr>
      <w:r>
        <w:rPr>
          <w:rFonts w:ascii="Arial" w:cs="Arial" w:eastAsia="Arial" w:hAnsi="Arial"/>
          <w:sz w:val="22"/>
          <w:szCs w:val="22"/>
          <w:b w:val="1"/>
          <w:bCs w:val="1"/>
          <w:color w:val="auto"/>
        </w:rPr>
        <w:t>ACT OF 1934</w:t>
      </w:r>
    </w:p>
    <w:p>
      <w:pPr>
        <w:spacing w:after="0" w:line="1" w:lineRule="exact"/>
        <w:rPr>
          <w:sz w:val="24"/>
          <w:szCs w:val="24"/>
          <w:color w:val="auto"/>
        </w:rPr>
      </w:pPr>
    </w:p>
    <w:p>
      <w:pPr>
        <w:ind w:left="354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0-32259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ALIGN TECHNOLOGY,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jc w:val="center"/>
              <w:ind w:left="2420"/>
              <w:spacing w:after="0"/>
              <w:rPr>
                <w:sz w:val="20"/>
                <w:szCs w:val="20"/>
                <w:color w:val="auto"/>
              </w:rPr>
            </w:pPr>
            <w:r>
              <w:rPr>
                <w:rFonts w:ascii="Arial" w:cs="Arial" w:eastAsia="Arial" w:hAnsi="Arial"/>
                <w:sz w:val="16"/>
                <w:szCs w:val="16"/>
                <w:b w:val="1"/>
                <w:bCs w:val="1"/>
                <w:color w:val="auto"/>
                <w:w w:val="91"/>
              </w:rPr>
              <w:t>Delaware</w:t>
            </w:r>
          </w:p>
        </w:tc>
        <w:tc>
          <w:tcPr>
            <w:tcW w:w="6760" w:type="dxa"/>
            <w:vAlign w:val="bottom"/>
            <w:gridSpan w:val="3"/>
          </w:tcPr>
          <w:p>
            <w:pPr>
              <w:jc w:val="center"/>
              <w:ind w:right="321"/>
              <w:spacing w:after="0"/>
              <w:rPr>
                <w:sz w:val="20"/>
                <w:szCs w:val="20"/>
                <w:color w:val="auto"/>
              </w:rPr>
            </w:pPr>
            <w:r>
              <w:rPr>
                <w:rFonts w:ascii="Arial" w:cs="Arial" w:eastAsia="Arial" w:hAnsi="Arial"/>
                <w:sz w:val="16"/>
                <w:szCs w:val="16"/>
                <w:b w:val="1"/>
                <w:bCs w:val="1"/>
                <w:color w:val="auto"/>
                <w:w w:val="93"/>
              </w:rPr>
              <w:t>94-3267295</w:t>
            </w:r>
          </w:p>
        </w:tc>
      </w:tr>
      <w:tr>
        <w:trPr>
          <w:trHeight w:val="203"/>
        </w:trPr>
        <w:tc>
          <w:tcPr>
            <w:tcW w:w="4660" w:type="dxa"/>
            <w:vAlign w:val="bottom"/>
          </w:tcPr>
          <w:p>
            <w:pPr>
              <w:jc w:val="center"/>
              <w:ind w:left="2420"/>
              <w:spacing w:after="0"/>
              <w:rPr>
                <w:sz w:val="20"/>
                <w:szCs w:val="20"/>
                <w:color w:val="auto"/>
              </w:rPr>
            </w:pPr>
            <w:r>
              <w:rPr>
                <w:rFonts w:ascii="Arial" w:cs="Arial" w:eastAsia="Arial" w:hAnsi="Arial"/>
                <w:sz w:val="16"/>
                <w:szCs w:val="16"/>
                <w:color w:val="auto"/>
                <w:w w:val="93"/>
              </w:rPr>
              <w:t>(State or other jurisdiction of</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560" w:type="dxa"/>
            <w:vAlign w:val="bottom"/>
          </w:tcPr>
          <w:p>
            <w:pPr>
              <w:jc w:val="center"/>
              <w:ind w:right="1521"/>
              <w:spacing w:after="0"/>
              <w:rPr>
                <w:sz w:val="20"/>
                <w:szCs w:val="20"/>
                <w:color w:val="auto"/>
              </w:rPr>
            </w:pPr>
            <w:r>
              <w:rPr>
                <w:rFonts w:ascii="Arial" w:cs="Arial" w:eastAsia="Arial" w:hAnsi="Arial"/>
                <w:sz w:val="16"/>
                <w:szCs w:val="16"/>
                <w:color w:val="auto"/>
                <w:w w:val="95"/>
              </w:rPr>
              <w:t>(I.R.S. Employer</w:t>
            </w:r>
          </w:p>
        </w:tc>
      </w:tr>
      <w:tr>
        <w:trPr>
          <w:trHeight w:val="206"/>
        </w:trPr>
        <w:tc>
          <w:tcPr>
            <w:tcW w:w="4660" w:type="dxa"/>
            <w:vAlign w:val="bottom"/>
          </w:tcPr>
          <w:p>
            <w:pPr>
              <w:ind w:left="2700"/>
              <w:spacing w:after="0"/>
              <w:rPr>
                <w:sz w:val="20"/>
                <w:szCs w:val="20"/>
                <w:color w:val="auto"/>
              </w:rPr>
            </w:pPr>
            <w:r>
              <w:rPr>
                <w:rFonts w:ascii="Arial" w:cs="Arial" w:eastAsia="Arial" w:hAnsi="Arial"/>
                <w:sz w:val="16"/>
                <w:szCs w:val="16"/>
                <w:color w:val="auto"/>
                <w:w w:val="93"/>
              </w:rPr>
              <w:t>incorporation or organization)</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560" w:type="dxa"/>
            <w:vAlign w:val="bottom"/>
          </w:tcPr>
          <w:p>
            <w:pPr>
              <w:jc w:val="center"/>
              <w:ind w:right="1501"/>
              <w:spacing w:after="0"/>
              <w:rPr>
                <w:sz w:val="20"/>
                <w:szCs w:val="20"/>
                <w:color w:val="auto"/>
              </w:rPr>
            </w:pPr>
            <w:r>
              <w:rPr>
                <w:rFonts w:ascii="Arial" w:cs="Arial" w:eastAsia="Arial" w:hAnsi="Arial"/>
                <w:sz w:val="16"/>
                <w:szCs w:val="16"/>
                <w:color w:val="auto"/>
                <w:w w:val="95"/>
              </w:rPr>
              <w:t>Identification Number)</w:t>
            </w:r>
          </w:p>
        </w:tc>
      </w:tr>
      <w:tr>
        <w:trPr>
          <w:trHeight w:val="316"/>
        </w:trPr>
        <w:tc>
          <w:tcPr>
            <w:tcW w:w="4660" w:type="dxa"/>
            <w:vAlign w:val="bottom"/>
          </w:tcPr>
          <w:p>
            <w:pPr>
              <w:spacing w:after="0"/>
              <w:rPr>
                <w:sz w:val="24"/>
                <w:szCs w:val="24"/>
                <w:color w:val="auto"/>
              </w:rPr>
            </w:pPr>
          </w:p>
        </w:tc>
        <w:tc>
          <w:tcPr>
            <w:tcW w:w="6760" w:type="dxa"/>
            <w:vAlign w:val="bottom"/>
            <w:gridSpan w:val="3"/>
          </w:tcPr>
          <w:p>
            <w:pPr>
              <w:jc w:val="center"/>
              <w:ind w:right="4581"/>
              <w:spacing w:after="0"/>
              <w:rPr>
                <w:sz w:val="20"/>
                <w:szCs w:val="20"/>
                <w:color w:val="auto"/>
              </w:rPr>
            </w:pPr>
            <w:r>
              <w:rPr>
                <w:rFonts w:ascii="Arial" w:cs="Arial" w:eastAsia="Arial" w:hAnsi="Arial"/>
                <w:sz w:val="16"/>
                <w:szCs w:val="16"/>
                <w:b w:val="1"/>
                <w:bCs w:val="1"/>
                <w:color w:val="auto"/>
                <w:w w:val="94"/>
              </w:rPr>
              <w:t>881 Martin Avenue</w:t>
            </w:r>
          </w:p>
        </w:tc>
      </w:tr>
      <w:tr>
        <w:trPr>
          <w:trHeight w:val="207"/>
        </w:trPr>
        <w:tc>
          <w:tcPr>
            <w:tcW w:w="4660" w:type="dxa"/>
            <w:vAlign w:val="bottom"/>
          </w:tcPr>
          <w:p>
            <w:pPr>
              <w:spacing w:after="0"/>
              <w:rPr>
                <w:sz w:val="17"/>
                <w:szCs w:val="17"/>
                <w:color w:val="auto"/>
              </w:rPr>
            </w:pPr>
          </w:p>
        </w:tc>
        <w:tc>
          <w:tcPr>
            <w:tcW w:w="6760" w:type="dxa"/>
            <w:vAlign w:val="bottom"/>
            <w:gridSpan w:val="3"/>
          </w:tcPr>
          <w:p>
            <w:pPr>
              <w:jc w:val="center"/>
              <w:ind w:right="4581"/>
              <w:spacing w:after="0"/>
              <w:rPr>
                <w:sz w:val="20"/>
                <w:szCs w:val="20"/>
                <w:color w:val="auto"/>
              </w:rPr>
            </w:pPr>
            <w:r>
              <w:rPr>
                <w:rFonts w:ascii="Arial" w:cs="Arial" w:eastAsia="Arial" w:hAnsi="Arial"/>
                <w:sz w:val="16"/>
                <w:szCs w:val="16"/>
                <w:b w:val="1"/>
                <w:bCs w:val="1"/>
                <w:color w:val="auto"/>
                <w:w w:val="93"/>
              </w:rPr>
              <w:t>Santa Clara, California 95050</w:t>
            </w: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4"/>
              </w:rPr>
              <w:t>(Address of principal executive offices, including Zip Code)</w:t>
            </w:r>
          </w:p>
        </w:tc>
      </w:tr>
      <w:tr>
        <w:trPr>
          <w:trHeight w:val="239"/>
        </w:trPr>
        <w:tc>
          <w:tcPr>
            <w:tcW w:w="4660" w:type="dxa"/>
            <w:vAlign w:val="bottom"/>
          </w:tcPr>
          <w:p>
            <w:pPr>
              <w:spacing w:after="0"/>
              <w:rPr>
                <w:sz w:val="20"/>
                <w:szCs w:val="20"/>
                <w:color w:val="auto"/>
              </w:rPr>
            </w:pPr>
          </w:p>
        </w:tc>
        <w:tc>
          <w:tcPr>
            <w:tcW w:w="6760" w:type="dxa"/>
            <w:vAlign w:val="bottom"/>
            <w:gridSpan w:val="3"/>
          </w:tcPr>
          <w:p>
            <w:pPr>
              <w:jc w:val="center"/>
              <w:ind w:right="4581"/>
              <w:spacing w:after="0"/>
              <w:rPr>
                <w:sz w:val="20"/>
                <w:szCs w:val="20"/>
                <w:color w:val="auto"/>
              </w:rPr>
            </w:pPr>
            <w:r>
              <w:rPr>
                <w:rFonts w:ascii="Arial" w:cs="Arial" w:eastAsia="Arial" w:hAnsi="Arial"/>
                <w:sz w:val="16"/>
                <w:szCs w:val="16"/>
                <w:b w:val="1"/>
                <w:bCs w:val="1"/>
                <w:color w:val="auto"/>
                <w:w w:val="93"/>
              </w:rPr>
              <w:t>(408) 470-1000</w:t>
            </w: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30"/>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22"/>
        </w:trPr>
        <w:tc>
          <w:tcPr>
            <w:tcW w:w="4660" w:type="dxa"/>
            <w:vAlign w:val="bottom"/>
            <w:tcBorders>
              <w:bottom w:val="single" w:sz="8" w:color="auto"/>
            </w:tcBorders>
          </w:tcPr>
          <w:p>
            <w:pPr>
              <w:jc w:val="center"/>
              <w:ind w:left="820"/>
              <w:spacing w:after="0"/>
              <w:rPr>
                <w:sz w:val="20"/>
                <w:szCs w:val="20"/>
                <w:color w:val="auto"/>
              </w:rPr>
            </w:pPr>
            <w:r>
              <w:rPr>
                <w:rFonts w:ascii="Arial" w:cs="Arial" w:eastAsia="Arial" w:hAnsi="Arial"/>
                <w:sz w:val="14"/>
                <w:szCs w:val="14"/>
                <w:b w:val="1"/>
                <w:bCs w:val="1"/>
                <w:color w:val="auto"/>
                <w:w w:val="89"/>
              </w:rPr>
              <w:t>Title of each class</w:t>
            </w: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6"/>
        </w:trPr>
        <w:tc>
          <w:tcPr>
            <w:tcW w:w="4660" w:type="dxa"/>
            <w:vAlign w:val="bottom"/>
          </w:tcPr>
          <w:p>
            <w:pPr>
              <w:jc w:val="center"/>
              <w:ind w:left="840"/>
              <w:spacing w:after="0"/>
              <w:rPr>
                <w:sz w:val="20"/>
                <w:szCs w:val="20"/>
                <w:color w:val="auto"/>
              </w:rPr>
            </w:pPr>
            <w:r>
              <w:rPr>
                <w:rFonts w:ascii="Arial" w:cs="Arial" w:eastAsia="Arial" w:hAnsi="Arial"/>
                <w:sz w:val="16"/>
                <w:szCs w:val="16"/>
                <w:color w:val="auto"/>
                <w:w w:val="91"/>
              </w:rPr>
              <w:t>Common Stock, $0.0001 par value</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56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06"/>
        </w:trPr>
        <w:tc>
          <w:tcPr>
            <w:tcW w:w="4660" w:type="dxa"/>
            <w:vAlign w:val="bottom"/>
          </w:tcPr>
          <w:p>
            <w:pPr>
              <w:jc w:val="center"/>
              <w:ind w:left="820"/>
              <w:spacing w:after="0"/>
              <w:rPr>
                <w:sz w:val="20"/>
                <w:szCs w:val="20"/>
                <w:color w:val="auto"/>
              </w:rPr>
            </w:pPr>
            <w:r>
              <w:rPr>
                <w:rFonts w:ascii="Arial" w:cs="Arial" w:eastAsia="Arial" w:hAnsi="Arial"/>
                <w:sz w:val="16"/>
                <w:szCs w:val="16"/>
                <w:color w:val="auto"/>
                <w:w w:val="90"/>
              </w:rPr>
              <w:t>(Including associated Prefered Stock Purchase Rights)</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560" w:type="dxa"/>
            <w:vAlign w:val="bottom"/>
          </w:tcPr>
          <w:p>
            <w:pPr>
              <w:jc w:val="center"/>
              <w:spacing w:after="0"/>
              <w:rPr>
                <w:sz w:val="20"/>
                <w:szCs w:val="20"/>
                <w:color w:val="auto"/>
              </w:rPr>
            </w:pPr>
            <w:r>
              <w:rPr>
                <w:rFonts w:ascii="Arial" w:cs="Arial" w:eastAsia="Arial" w:hAnsi="Arial"/>
                <w:sz w:val="16"/>
                <w:szCs w:val="16"/>
                <w:color w:val="auto"/>
                <w:w w:val="96"/>
              </w:rPr>
              <w:t>(NASDAQ Global Market)</w:t>
            </w:r>
          </w:p>
        </w:tc>
      </w:tr>
      <w:tr>
        <w:trPr>
          <w:trHeight w:val="311"/>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2"/>
              </w:rPr>
              <w:t>Securities registered pursuant to Section 12(g) of the Act:</w:t>
            </w:r>
          </w:p>
        </w:tc>
      </w:tr>
      <w:tr>
        <w:trPr>
          <w:trHeight w:val="212"/>
        </w:trPr>
        <w:tc>
          <w:tcPr>
            <w:tcW w:w="4660" w:type="dxa"/>
            <w:vAlign w:val="bottom"/>
          </w:tcPr>
          <w:p>
            <w:pPr>
              <w:spacing w:after="0"/>
              <w:rPr>
                <w:sz w:val="18"/>
                <w:szCs w:val="18"/>
                <w:color w:val="auto"/>
              </w:rPr>
            </w:pPr>
          </w:p>
        </w:tc>
        <w:tc>
          <w:tcPr>
            <w:tcW w:w="6760" w:type="dxa"/>
            <w:vAlign w:val="bottom"/>
            <w:gridSpan w:val="3"/>
          </w:tcPr>
          <w:p>
            <w:pPr>
              <w:jc w:val="center"/>
              <w:ind w:right="4561"/>
              <w:spacing w:after="0"/>
              <w:rPr>
                <w:sz w:val="20"/>
                <w:szCs w:val="20"/>
                <w:color w:val="auto"/>
              </w:rPr>
            </w:pPr>
            <w:r>
              <w:rPr>
                <w:rFonts w:ascii="Arial" w:cs="Arial" w:eastAsia="Arial" w:hAnsi="Arial"/>
                <w:sz w:val="16"/>
                <w:szCs w:val="16"/>
                <w:b w:val="1"/>
                <w:bCs w:val="1"/>
                <w:color w:val="auto"/>
                <w:w w:val="89"/>
              </w:rPr>
              <w:t>None</w:t>
            </w:r>
          </w:p>
        </w:tc>
      </w:tr>
      <w:tr>
        <w:trPr>
          <w:trHeight w:val="206"/>
        </w:trPr>
        <w:tc>
          <w:tcPr>
            <w:tcW w:w="11420" w:type="dxa"/>
            <w:vAlign w:val="bottom"/>
            <w:gridSpan w:val="4"/>
          </w:tcPr>
          <w:p>
            <w:pPr>
              <w:ind w:left="36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w:t>
            </w:r>
          </w:p>
        </w:tc>
      </w:tr>
    </w:tbl>
    <w:p>
      <w:pPr>
        <w:spacing w:after="0" w:line="1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 o No x</w:t>
      </w:r>
    </w:p>
    <w:p>
      <w:pPr>
        <w:spacing w:after="0" w:line="32" w:lineRule="exact"/>
        <w:rPr>
          <w:sz w:val="24"/>
          <w:szCs w:val="24"/>
          <w:color w:val="auto"/>
        </w:rPr>
      </w:pPr>
    </w:p>
    <w:p>
      <w:pPr>
        <w:ind w:right="180" w:firstLine="360"/>
        <w:spacing w:after="0" w:line="24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ind w:right="700" w:firstLine="324"/>
        <w:spacing w:after="0" w:line="289"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ind w:right="480" w:firstLine="324"/>
        <w:spacing w:after="0" w:line="25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Large accelerated filer o Accelerated filer x Non-accelerated filer o</w:t>
      </w:r>
    </w:p>
    <w:p>
      <w:pPr>
        <w:spacing w:after="0" w:line="22"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8" w:lineRule="exact"/>
        <w:rPr>
          <w:sz w:val="24"/>
          <w:szCs w:val="24"/>
          <w:color w:val="auto"/>
        </w:rPr>
      </w:pPr>
    </w:p>
    <w:p>
      <w:pPr>
        <w:ind w:right="60" w:firstLine="360"/>
        <w:spacing w:after="0" w:line="243"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was $387,981,710 as of June 30, 2006 based on the closing sale price of the registrant’s common stock on the NASDAQ Global Market on such date. Shares held by person who may be deemed affiliates have been excluded. This determination of affiliate status is not necessarily a conclusive determination for other purposes.</w:t>
      </w:r>
    </w:p>
    <w:p>
      <w:pPr>
        <w:spacing w:after="0" w:line="8"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March 6, 2007, 65,837,621 shares of registrant’s common stock were outstanding.</w:t>
      </w:r>
    </w:p>
    <w:p>
      <w:pPr>
        <w:spacing w:after="0" w:line="6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0" w:lineRule="exact"/>
        <w:rPr>
          <w:sz w:val="24"/>
          <w:szCs w:val="24"/>
          <w:color w:val="auto"/>
        </w:rPr>
      </w:pPr>
    </w:p>
    <w:p>
      <w:pPr>
        <w:ind w:right="320" w:firstLine="360"/>
        <w:spacing w:after="0" w:line="258" w:lineRule="auto"/>
        <w:rPr>
          <w:sz w:val="20"/>
          <w:szCs w:val="20"/>
          <w:color w:val="auto"/>
        </w:rPr>
      </w:pPr>
      <w:r>
        <w:rPr>
          <w:rFonts w:ascii="Arial" w:cs="Arial" w:eastAsia="Arial" w:hAnsi="Arial"/>
          <w:sz w:val="16"/>
          <w:szCs w:val="16"/>
          <w:color w:val="auto"/>
        </w:rPr>
        <w:t>Portions of registrant’s definitive Proxy Statement relating to its 2007 Annual Stockholders’ Meeting to be filed pursuant to Regulation 14A within 120 days after the registrant’s fiscal year end of December 31, 2006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421640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0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rPr>
              <w:t>ALIGN TECHNOLOGY, INC.</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99"/>
              </w:rPr>
              <w:t>FORM 10 K</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0" w:type="dxa"/>
            <w:vAlign w:val="bottom"/>
            <w:gridSpan w:val="4"/>
          </w:tcPr>
          <w:p>
            <w:pPr>
              <w:jc w:val="center"/>
              <w:ind w:right="3740"/>
              <w:spacing w:after="0"/>
              <w:rPr>
                <w:sz w:val="20"/>
                <w:szCs w:val="20"/>
                <w:color w:val="auto"/>
              </w:rPr>
            </w:pPr>
            <w:r>
              <w:rPr>
                <w:rFonts w:ascii="Arial" w:cs="Arial" w:eastAsia="Arial" w:hAnsi="Arial"/>
                <w:sz w:val="18"/>
                <w:szCs w:val="18"/>
                <w:b w:val="1"/>
                <w:bCs w:val="1"/>
                <w:color w:val="auto"/>
                <w:w w:val="90"/>
              </w:rPr>
              <w:t>For the Year Ended December 31, 2006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580" w:type="dxa"/>
            <w:vAlign w:val="bottom"/>
            <w:gridSpan w:val="6"/>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58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18"/>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104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2">
              <w:r>
                <w:rPr>
                  <w:rFonts w:ascii="Arial" w:cs="Arial" w:eastAsia="Arial" w:hAnsi="Arial"/>
                  <w:sz w:val="18"/>
                  <w:szCs w:val="18"/>
                  <w:color w:val="0000EE"/>
                  <w:w w:val="84"/>
                </w:rPr>
                <w:t>Business</w:t>
              </w:r>
            </w:hyperlink>
          </w:p>
        </w:tc>
        <w:tc>
          <w:tcPr>
            <w:tcW w:w="876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Executive Officers of the Registrant</w:t>
              </w:r>
            </w:hyperlink>
          </w:p>
        </w:tc>
        <w:tc>
          <w:tcPr>
            <w:tcW w:w="68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Item 1A.</w:t>
              </w:r>
            </w:hyperlink>
          </w:p>
        </w:tc>
        <w:tc>
          <w:tcPr>
            <w:tcW w:w="92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850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1B.</w:t>
              </w:r>
            </w:hyperlink>
          </w:p>
        </w:tc>
        <w:tc>
          <w:tcPr>
            <w:tcW w:w="940" w:type="dxa"/>
            <w:vAlign w:val="bottom"/>
            <w:gridSpan w:val="2"/>
          </w:tcPr>
          <w:p>
            <w:pPr>
              <w:spacing w:after="0"/>
              <w:rPr>
                <w:sz w:val="17"/>
                <w:szCs w:val="17"/>
                <w:color w:val="auto"/>
              </w:rPr>
            </w:pPr>
          </w:p>
        </w:tc>
        <w:tc>
          <w:tcPr>
            <w:tcW w:w="9400" w:type="dxa"/>
            <w:vAlign w:val="bottom"/>
            <w:gridSpan w:val="1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120" w:type="dxa"/>
            <w:vAlign w:val="bottom"/>
            <w:tcBorders>
              <w:top w:val="single" w:sz="8" w:color="0000EE"/>
            </w:tcBorders>
            <w:gridSpan w:val="3"/>
          </w:tcPr>
          <w:p>
            <w:pPr>
              <w:spacing w:after="0"/>
              <w:rPr>
                <w:sz w:val="17"/>
                <w:szCs w:val="17"/>
                <w:color w:val="auto"/>
              </w:rPr>
            </w:pPr>
          </w:p>
        </w:tc>
        <w:tc>
          <w:tcPr>
            <w:tcW w:w="940" w:type="dxa"/>
            <w:vAlign w:val="bottom"/>
            <w:gridSpan w:val="2"/>
          </w:tcPr>
          <w:p>
            <w:pPr>
              <w:spacing w:after="0"/>
              <w:rPr>
                <w:sz w:val="17"/>
                <w:szCs w:val="17"/>
                <w:color w:val="auto"/>
              </w:rPr>
            </w:pPr>
          </w:p>
        </w:tc>
        <w:tc>
          <w:tcPr>
            <w:tcW w:w="20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736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3.</w:t>
              </w:r>
            </w:hyperlink>
          </w:p>
        </w:tc>
        <w:tc>
          <w:tcPr>
            <w:tcW w:w="1060" w:type="dxa"/>
            <w:vAlign w:val="bottom"/>
            <w:gridSpan w:val="5"/>
          </w:tcPr>
          <w:p>
            <w:pPr>
              <w:spacing w:after="0"/>
              <w:rPr>
                <w:sz w:val="17"/>
                <w:szCs w:val="17"/>
                <w:color w:val="auto"/>
              </w:rPr>
            </w:pPr>
          </w:p>
        </w:tc>
        <w:tc>
          <w:tcPr>
            <w:tcW w:w="9400" w:type="dxa"/>
            <w:vAlign w:val="bottom"/>
            <w:gridSpan w:val="1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1060" w:type="dxa"/>
            <w:vAlign w:val="bottom"/>
            <w:gridSpan w:val="5"/>
          </w:tcPr>
          <w:p>
            <w:pPr>
              <w:spacing w:after="0"/>
              <w:rPr>
                <w:sz w:val="17"/>
                <w:szCs w:val="17"/>
                <w:color w:val="auto"/>
              </w:rPr>
            </w:pPr>
          </w:p>
        </w:tc>
        <w:tc>
          <w:tcPr>
            <w:tcW w:w="9400" w:type="dxa"/>
            <w:vAlign w:val="bottom"/>
            <w:gridSpan w:val="1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Submission of Matters to a Vote of Security Holders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5.</w:t>
              </w:r>
            </w:hyperlink>
          </w:p>
        </w:tc>
        <w:tc>
          <w:tcPr>
            <w:tcW w:w="80" w:type="dxa"/>
            <w:vAlign w:val="bottom"/>
            <w:tcBorders>
              <w:top w:val="single" w:sz="8" w:color="0000EE"/>
            </w:tcBorders>
            <w:gridSpan w:val="2"/>
          </w:tcPr>
          <w:p>
            <w:pPr>
              <w:spacing w:after="0"/>
              <w:rPr>
                <w:sz w:val="24"/>
                <w:szCs w:val="24"/>
                <w:color w:val="auto"/>
              </w:rPr>
            </w:pPr>
          </w:p>
        </w:tc>
        <w:tc>
          <w:tcPr>
            <w:tcW w:w="980" w:type="dxa"/>
            <w:vAlign w:val="bottom"/>
            <w:gridSpan w:val="3"/>
          </w:tcPr>
          <w:p>
            <w:pPr>
              <w:spacing w:after="0"/>
              <w:rPr>
                <w:sz w:val="24"/>
                <w:szCs w:val="24"/>
                <w:color w:val="auto"/>
              </w:rPr>
            </w:pPr>
          </w:p>
        </w:tc>
        <w:tc>
          <w:tcPr>
            <w:tcW w:w="9400" w:type="dxa"/>
            <w:vAlign w:val="bottom"/>
            <w:gridSpan w:val="1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and Related Stockholder Matters and Issuer Purchase of Equity Security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1060" w:type="dxa"/>
            <w:vAlign w:val="bottom"/>
            <w:gridSpan w:val="5"/>
          </w:tcPr>
          <w:p>
            <w:pPr>
              <w:spacing w:after="0"/>
              <w:rPr>
                <w:sz w:val="17"/>
                <w:szCs w:val="17"/>
                <w:color w:val="auto"/>
              </w:rPr>
            </w:pPr>
          </w:p>
        </w:tc>
        <w:tc>
          <w:tcPr>
            <w:tcW w:w="2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Selected Consolidated Financial Data</w:t>
              </w:r>
            </w:hyperlink>
          </w:p>
        </w:tc>
        <w:tc>
          <w:tcPr>
            <w:tcW w:w="5460" w:type="dxa"/>
            <w:vAlign w:val="bottom"/>
            <w:tcBorders>
              <w:top w:val="single" w:sz="8" w:color="0000EE"/>
            </w:tcBorders>
            <w:gridSpan w:val="2"/>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70" w:orient="portrait"/>
          <w:cols w:equalWidth="0" w:num="1">
            <w:col w:w="11420"/>
          </w:cols>
          <w:pgMar w:left="240" w:top="517" w:right="239" w:bottom="0" w:gutter="0" w:footer="0" w:header="0"/>
        </w:sectPr>
      </w:pPr>
    </w:p>
    <w:bookmarkStart w:id="1" w:name="page2"/>
    <w:bookmarkEnd w:id="1"/>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7.</w:t>
              </w:r>
            </w:hyperlink>
          </w:p>
        </w:tc>
        <w:tc>
          <w:tcPr>
            <w:tcW w:w="240" w:type="dxa"/>
            <w:vAlign w:val="bottom"/>
            <w:gridSpan w:val="5"/>
          </w:tcPr>
          <w:p>
            <w:pPr>
              <w:spacing w:after="0"/>
              <w:rPr>
                <w:sz w:val="17"/>
                <w:szCs w:val="17"/>
                <w:color w:val="auto"/>
              </w:rPr>
            </w:pPr>
          </w:p>
        </w:tc>
        <w:tc>
          <w:tcPr>
            <w:tcW w:w="8360" w:type="dxa"/>
            <w:vAlign w:val="bottom"/>
            <w:gridSpan w:val="11"/>
          </w:tcPr>
          <w:p>
            <w:pPr>
              <w:ind w:left="820"/>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Item 7A.</w:t>
              </w:r>
            </w:hyperlink>
          </w:p>
        </w:tc>
        <w:tc>
          <w:tcPr>
            <w:tcW w:w="100" w:type="dxa"/>
            <w:vAlign w:val="bottom"/>
            <w:gridSpan w:val="2"/>
          </w:tcPr>
          <w:p>
            <w:pPr>
              <w:spacing w:after="0"/>
              <w:rPr>
                <w:sz w:val="17"/>
                <w:szCs w:val="17"/>
                <w:color w:val="auto"/>
              </w:rPr>
            </w:pPr>
          </w:p>
        </w:tc>
        <w:tc>
          <w:tcPr>
            <w:tcW w:w="8360" w:type="dxa"/>
            <w:vAlign w:val="bottom"/>
            <w:gridSpan w:val="11"/>
          </w:tcPr>
          <w:p>
            <w:pPr>
              <w:ind w:left="8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8.</w:t>
              </w:r>
            </w:hyperlink>
          </w:p>
        </w:tc>
        <w:tc>
          <w:tcPr>
            <w:tcW w:w="140" w:type="dxa"/>
            <w:vAlign w:val="bottom"/>
            <w:gridSpan w:val="3"/>
          </w:tcPr>
          <w:p>
            <w:pPr>
              <w:spacing w:after="0"/>
              <w:rPr>
                <w:sz w:val="17"/>
                <w:szCs w:val="17"/>
                <w:color w:val="auto"/>
              </w:rPr>
            </w:pPr>
          </w:p>
        </w:tc>
        <w:tc>
          <w:tcPr>
            <w:tcW w:w="100" w:type="dxa"/>
            <w:vAlign w:val="bottom"/>
            <w:gridSpan w:val="2"/>
          </w:tcPr>
          <w:p>
            <w:pPr>
              <w:spacing w:after="0"/>
              <w:rPr>
                <w:sz w:val="17"/>
                <w:szCs w:val="17"/>
                <w:color w:val="auto"/>
              </w:rPr>
            </w:pPr>
          </w:p>
        </w:tc>
        <w:tc>
          <w:tcPr>
            <w:tcW w:w="8360" w:type="dxa"/>
            <w:vAlign w:val="bottom"/>
            <w:gridSpan w:val="11"/>
          </w:tcPr>
          <w:p>
            <w:pPr>
              <w:ind w:left="8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Consolidated Financial Statements and Supplementary Data</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9.</w:t>
              </w:r>
            </w:hyperlink>
          </w:p>
        </w:tc>
        <w:tc>
          <w:tcPr>
            <w:tcW w:w="80" w:type="dxa"/>
            <w:vAlign w:val="bottom"/>
          </w:tcPr>
          <w:p>
            <w:pPr>
              <w:spacing w:after="0"/>
              <w:rPr>
                <w:sz w:val="17"/>
                <w:szCs w:val="17"/>
                <w:color w:val="auto"/>
              </w:rPr>
            </w:pPr>
          </w:p>
        </w:tc>
        <w:tc>
          <w:tcPr>
            <w:tcW w:w="160" w:type="dxa"/>
            <w:vAlign w:val="bottom"/>
            <w:gridSpan w:val="4"/>
          </w:tcPr>
          <w:p>
            <w:pPr>
              <w:spacing w:after="0"/>
              <w:rPr>
                <w:sz w:val="17"/>
                <w:szCs w:val="17"/>
                <w:color w:val="auto"/>
              </w:rPr>
            </w:pPr>
          </w:p>
        </w:tc>
        <w:tc>
          <w:tcPr>
            <w:tcW w:w="8360" w:type="dxa"/>
            <w:vAlign w:val="bottom"/>
            <w:gridSpan w:val="11"/>
          </w:tcPr>
          <w:p>
            <w:pPr>
              <w:ind w:left="82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Changes In and Disagreements With Accountants on Accounting and Financial Disclosure</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Item 9A.</w:t>
              </w:r>
            </w:hyperlink>
          </w:p>
        </w:tc>
        <w:tc>
          <w:tcPr>
            <w:tcW w:w="100" w:type="dxa"/>
            <w:vAlign w:val="bottom"/>
            <w:gridSpan w:val="2"/>
          </w:tcPr>
          <w:p>
            <w:pPr>
              <w:spacing w:after="0"/>
              <w:rPr>
                <w:sz w:val="17"/>
                <w:szCs w:val="17"/>
                <w:color w:val="auto"/>
              </w:rPr>
            </w:pPr>
          </w:p>
        </w:tc>
        <w:tc>
          <w:tcPr>
            <w:tcW w:w="8360" w:type="dxa"/>
            <w:vAlign w:val="bottom"/>
            <w:gridSpan w:val="11"/>
          </w:tcPr>
          <w:p>
            <w:pPr>
              <w:ind w:left="82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Item 9B.</w:t>
              </w:r>
            </w:hyperlink>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8360" w:type="dxa"/>
            <w:vAlign w:val="bottom"/>
            <w:gridSpan w:val="11"/>
          </w:tcPr>
          <w:p>
            <w:pPr>
              <w:ind w:left="82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76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PART III</w:t>
              </w:r>
            </w:hyperlink>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660" w:type="dxa"/>
            <w:vAlign w:val="bottom"/>
            <w:tcBorders>
              <w:top w:val="single" w:sz="8" w:color="0000EE"/>
            </w:tcBorders>
            <w:gridSpan w:val="4"/>
          </w:tcPr>
          <w:p>
            <w:pPr>
              <w:spacing w:after="0"/>
              <w:rPr>
                <w:rFonts w:ascii="Arial" w:cs="Arial" w:eastAsia="Arial" w:hAnsi="Arial"/>
                <w:sz w:val="18"/>
                <w:szCs w:val="18"/>
                <w:color w:val="0000EE"/>
                <w:w w:val="98"/>
              </w:rPr>
            </w:pPr>
            <w:hyperlink w:anchor="page52">
              <w:r>
                <w:rPr>
                  <w:rFonts w:ascii="Arial" w:cs="Arial" w:eastAsia="Arial" w:hAnsi="Arial"/>
                  <w:sz w:val="18"/>
                  <w:szCs w:val="18"/>
                  <w:color w:val="0000EE"/>
                  <w:w w:val="98"/>
                </w:rPr>
                <w:t>Item 10.</w:t>
              </w:r>
            </w:hyperlink>
          </w:p>
        </w:tc>
        <w:tc>
          <w:tcPr>
            <w:tcW w:w="100" w:type="dxa"/>
            <w:vAlign w:val="bottom"/>
            <w:gridSpan w:val="2"/>
          </w:tcPr>
          <w:p>
            <w:pPr>
              <w:spacing w:after="0"/>
              <w:rPr>
                <w:sz w:val="24"/>
                <w:szCs w:val="24"/>
                <w:color w:val="auto"/>
              </w:rPr>
            </w:pPr>
          </w:p>
        </w:tc>
        <w:tc>
          <w:tcPr>
            <w:tcW w:w="8360" w:type="dxa"/>
            <w:vAlign w:val="bottom"/>
            <w:gridSpan w:val="11"/>
          </w:tcPr>
          <w:p>
            <w:pPr>
              <w:ind w:left="820"/>
              <w:spacing w:after="0"/>
              <w:rPr>
                <w:rFonts w:ascii="Arial" w:cs="Arial" w:eastAsia="Arial" w:hAnsi="Arial"/>
                <w:sz w:val="18"/>
                <w:szCs w:val="18"/>
                <w:color w:val="0000EE"/>
              </w:rPr>
            </w:pPr>
            <w:hyperlink w:anchor="page52">
              <w:r>
                <w:rPr>
                  <w:rFonts w:ascii="Arial" w:cs="Arial" w:eastAsia="Arial" w:hAnsi="Arial"/>
                  <w:sz w:val="18"/>
                  <w:szCs w:val="18"/>
                  <w:color w:val="0000EE"/>
                </w:rPr>
                <w:t>Directors, Executive Officers and Corporate Governance</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11.</w:t>
              </w:r>
            </w:hyperlink>
          </w:p>
        </w:tc>
        <w:tc>
          <w:tcPr>
            <w:tcW w:w="8360" w:type="dxa"/>
            <w:vAlign w:val="bottom"/>
            <w:gridSpan w:val="11"/>
          </w:tcPr>
          <w:p>
            <w:pPr>
              <w:ind w:left="82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Executive Compensation</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680" w:type="dxa"/>
            <w:vAlign w:val="bottom"/>
            <w:gridSpan w:val="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12.</w:t>
              </w:r>
            </w:hyperlink>
          </w:p>
        </w:tc>
        <w:tc>
          <w:tcPr>
            <w:tcW w:w="80" w:type="dxa"/>
            <w:vAlign w:val="bottom"/>
          </w:tcPr>
          <w:p>
            <w:pPr>
              <w:spacing w:after="0"/>
              <w:rPr>
                <w:sz w:val="17"/>
                <w:szCs w:val="17"/>
                <w:color w:val="auto"/>
              </w:rPr>
            </w:pPr>
          </w:p>
        </w:tc>
        <w:tc>
          <w:tcPr>
            <w:tcW w:w="8360" w:type="dxa"/>
            <w:vAlign w:val="bottom"/>
            <w:gridSpan w:val="11"/>
          </w:tcPr>
          <w:p>
            <w:pPr>
              <w:ind w:left="820"/>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Security Ownership of Certain Beneficial Owners and Management and Related Stockholder Matters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6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680" w:type="dxa"/>
            <w:vAlign w:val="bottom"/>
            <w:gridSpan w:val="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13.</w:t>
              </w:r>
            </w:hyperlink>
          </w:p>
        </w:tc>
        <w:tc>
          <w:tcPr>
            <w:tcW w:w="80" w:type="dxa"/>
            <w:vAlign w:val="bottom"/>
          </w:tcPr>
          <w:p>
            <w:pPr>
              <w:spacing w:after="0"/>
              <w:rPr>
                <w:sz w:val="17"/>
                <w:szCs w:val="17"/>
                <w:color w:val="auto"/>
              </w:rPr>
            </w:pPr>
          </w:p>
        </w:tc>
        <w:tc>
          <w:tcPr>
            <w:tcW w:w="8360" w:type="dxa"/>
            <w:vAlign w:val="bottom"/>
            <w:gridSpan w:val="11"/>
          </w:tcPr>
          <w:p>
            <w:pPr>
              <w:ind w:left="82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 and Director Independence</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14.</w:t>
              </w:r>
            </w:hyperlink>
          </w:p>
        </w:tc>
        <w:tc>
          <w:tcPr>
            <w:tcW w:w="8360" w:type="dxa"/>
            <w:vAlign w:val="bottom"/>
            <w:gridSpan w:val="11"/>
          </w:tcPr>
          <w:p>
            <w:pPr>
              <w:ind w:left="82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Principal Accountant Fees and Services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6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PART IV</w:t>
              </w:r>
            </w:hyperlink>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04"/>
        </w:trPr>
        <w:tc>
          <w:tcPr>
            <w:tcW w:w="760" w:type="dxa"/>
            <w:vAlign w:val="bottom"/>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15.</w:t>
              </w:r>
            </w:hyperlink>
          </w:p>
        </w:tc>
        <w:tc>
          <w:tcPr>
            <w:tcW w:w="8360" w:type="dxa"/>
            <w:vAlign w:val="bottom"/>
            <w:gridSpan w:val="11"/>
          </w:tcPr>
          <w:p>
            <w:pPr>
              <w:ind w:left="820"/>
              <w:spacing w:after="0"/>
              <w:rPr>
                <w:rFonts w:ascii="Arial" w:cs="Arial" w:eastAsia="Arial" w:hAnsi="Arial"/>
                <w:sz w:val="18"/>
                <w:szCs w:val="18"/>
                <w:color w:val="0000EE"/>
              </w:rPr>
            </w:pPr>
            <w:hyperlink w:anchor="page53">
              <w:r>
                <w:rPr>
                  <w:rFonts w:ascii="Arial" w:cs="Arial" w:eastAsia="Arial" w:hAnsi="Arial"/>
                  <w:sz w:val="18"/>
                  <w:szCs w:val="18"/>
                  <w:color w:val="0000EE"/>
                </w:rPr>
                <w:t>Exhibits, Financial Statement Schedule and Reports on Form 8 K</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Signatures</w:t>
              </w:r>
            </w:hyperlink>
          </w:p>
        </w:tc>
        <w:tc>
          <w:tcPr>
            <w:tcW w:w="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bl>
    <w:p>
      <w:pPr>
        <w:spacing w:after="0" w:line="2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Invisalign, Align, ClinCheck and ClinAdvisor, amongst others, are trademarks belonging to Align Technology, Inc. and are pending or registered in the United States and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firstLine="360"/>
        <w:spacing w:after="0" w:line="267" w:lineRule="auto"/>
        <w:rPr>
          <w:sz w:val="20"/>
          <w:szCs w:val="20"/>
          <w:color w:val="auto"/>
        </w:rPr>
      </w:pPr>
      <w:r>
        <w:rPr>
          <w:rFonts w:ascii="Arial" w:cs="Arial" w:eastAsia="Arial" w:hAnsi="Arial"/>
          <w:sz w:val="17"/>
          <w:szCs w:val="17"/>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statements concerning our expectations regarding the anticipated benefit of increased collaboration between orthodontists and general practitioner dentists and the impact this collaboration will have on sales of Invisalign and on our revenue, our expectation that the percentage of revenue generated by general practitioner dentists will represent an increasingly larger percentage of our revenue, our intention to continue the integration of Invisalign into the curriculums of additional universities, our expectation regarding the benefits of new products, product features, and software enhancements, including ClinAdvisor, and the expected impact these new products and product enhancements will have on our market share, our expectations regarding product mix and Invisalign Express, our anticipated cost of the Patients First Program, our expectations regarding our average selling prices and gross margins in 2007, our expectations regarding the benefit of increased consumer marketing programs, our expectations regarding increased case shipment volume in 2007, our expectations regarding further expansion into North American and international markets, including Japan, our expectation regarding the anticipated level of our operating expenses in 2007,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Part II, Item 7 “Management’s Discussion and Analysis of Financial Condition and Results of Operations”, and in particular, the risks discussed below in Item 1A “Risk Factors”. We undertake no obligation to revise or update these forward-looking statements. Given these risks and uncertainties, readers are cautioned not to place undue reliance on such forward-looking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Align Technology, Inc. was incorporated in April 1997 under the laws of the state of Delaware. We design, manufacture and market the Invisalign system, a proprietary method for treating malocclusion, or the misalignment of teeth. Invisalign corrects malocclusion using a series of clear, nearly invisible, removable appliances that gently move teeth to a desired final position. Because it does not rely on the use of metal or ceramic brackets and wires, Invisalign significantly reduces the aesthetic and other limitations associated with braces. Invisalign is appropriate for treating adults and teens with mature dentition. Align Technology received FDA clearance to market Invisalign in 1998.</w:t>
      </w:r>
    </w:p>
    <w:p>
      <w:pPr>
        <w:spacing w:after="0" w:line="80"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 xml:space="preserve">Under the Corporate Information/Investor Relations section of our corporate website which can be accessed at either </w:t>
      </w:r>
      <w:r>
        <w:rPr>
          <w:rFonts w:ascii="Arial" w:cs="Arial" w:eastAsia="Arial" w:hAnsi="Arial"/>
          <w:sz w:val="18"/>
          <w:szCs w:val="18"/>
          <w:i w:val="1"/>
          <w:iCs w:val="1"/>
          <w:color w:val="auto"/>
        </w:rPr>
        <w:t>www.aligntech.com</w:t>
      </w:r>
      <w:r>
        <w:rPr>
          <w:rFonts w:ascii="Arial" w:cs="Arial" w:eastAsia="Arial" w:hAnsi="Arial"/>
          <w:sz w:val="18"/>
          <w:szCs w:val="18"/>
          <w:color w:val="auto"/>
        </w:rPr>
        <w:t xml:space="preserve"> or </w:t>
      </w:r>
      <w:r>
        <w:rPr>
          <w:rFonts w:ascii="Arial" w:cs="Arial" w:eastAsia="Arial" w:hAnsi="Arial"/>
          <w:sz w:val="18"/>
          <w:szCs w:val="18"/>
          <w:i w:val="1"/>
          <w:iCs w:val="1"/>
          <w:color w:val="auto"/>
        </w:rPr>
        <w:t>www.invisalign.com</w:t>
      </w:r>
      <w:r>
        <w:rPr>
          <w:rFonts w:ascii="Arial" w:cs="Arial" w:eastAsia="Arial" w:hAnsi="Arial"/>
          <w:sz w:val="18"/>
          <w:szCs w:val="18"/>
          <w:color w:val="auto"/>
        </w:rPr>
        <w:t>, we make our Annual Report on Form 10-K, quarterly reports on Form 10-Q, current reports on Form 8-K, our proxy statement on</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14A for our annual stockholders’ meeting and amendments to such reports available as soon as reasonably practicable after they are electronically filed with or furnished to the Securities and Exchange Commission, or SEC. All such filings are available free of charge. The information in, or that can be accessed through, our website is not part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Malocclusion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Malocclusion, the misalignment of teeth, is one of the most prevalent clinical dental conditions, affecting over 200 million individuals, or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75% of the U.S. population. Approximately two million people annually elect treatment by orthodontists in the U.S. While most individuals seek</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orthodontic treatment to improve their appearance, malocclusion may also be responsible for dental problems such as tooth decay, tooth loss, gum disease, jaw joint pain and headaches. Because of the compromised aesthetics, discomfort and other drawbacks associated with conventional orthodontic treatments, only a relatively small proportion of people with malocclusion seek traditional treatment.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Traditional Orthodontic Treatment</w:t>
      </w:r>
    </w:p>
    <w:p>
      <w:pPr>
        <w:spacing w:after="0" w:line="117"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In the U.S., dental professionals treat malocclusion primarily with metal archwires and brackets, commonly referred to as braces. Occasionally, dental professionals attempt to improve treatment aesthetics by using ceramic, tooth-colored brackets or bond brackets on the inside, or lingual surfaces, of the</w:t>
      </w:r>
    </w:p>
    <w:p>
      <w:pPr>
        <w:sectPr>
          <w:pgSz w:w="11900" w:h="16975" w:orient="portrait"/>
          <w:cols w:equalWidth="0" w:num="1">
            <w:col w:w="11400"/>
          </w:cols>
          <w:pgMar w:left="240" w:top="108" w:right="25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patient’s teeth. Dental professionals also augment braces with elastics, metal bands, headgear and other ancillary devices.</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average treatment takes approximately 12 to 24 months to complete and requires several hours of direct dental professional involvement, or chair time. To initiate treatment, a dental professional will diagnose a patient’s condition and create an appropriate treatment plan. In a subsequent visit, the dental professional will bond brackets to the patient’s teeth with cement and attach an archwire to the brackets. Thereafter, by tightening or otherwise adjusting the braces approximately every six weeks, the dental professional is able to exert sufficient force on the patient’s teeth to achieve desired tooth movement. Because of the length of time between visits, the dental professional must tighten the braces to a degree sufficient to achieve sustained tooth movement during the interval. In a final visit, the dental professional removes each bracket and residual cement from the patient’s teeth. Upon completion of the treatment, the dental professional may, at his or her discretion, have the patient use a retainer.</w:t>
      </w:r>
    </w:p>
    <w:p>
      <w:pPr>
        <w:spacing w:after="0" w:line="70"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color w:val="auto"/>
        </w:rPr>
        <w:t>Fees for traditional orthodontic treatment typically range between U.S. $3,500 to $7,000 with a median fee of approximately $4,800; generally only a portion of the fees is reimbursed by insurance, if covered at all. In addition, dental professionals commonly charge a premium for lingual or ceramic alternatives. Fees are based on the difficulty of the particular case and on the dental professional’s estimate of chair time, and are generally negotiated in advance. A treatment that exceeds the dental professional’s estimate of chair time generally results in decreased fees per hour of chair time, and reduced profitability for the dental professional.</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Limitations of Traditional Orthodontic Treatment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Although braces are generally effective in correcting a wide range of malocclusions, they are subject to many limitations and disadvantages.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Conventional orthodontic treatment is associated with:</w:t>
      </w:r>
    </w:p>
    <w:p>
      <w:pPr>
        <w:spacing w:after="0" w:line="103" w:lineRule="exact"/>
        <w:rPr>
          <w:sz w:val="20"/>
          <w:szCs w:val="20"/>
          <w:color w:val="auto"/>
        </w:rPr>
      </w:pPr>
    </w:p>
    <w:p>
      <w:pPr>
        <w:jc w:val="both"/>
        <w:ind w:left="540" w:right="160" w:hanging="172"/>
        <w:spacing w:after="0" w:line="31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Unattractive appearance</w:t>
      </w:r>
      <w:r>
        <w:rPr>
          <w:rFonts w:ascii="Arial" w:cs="Arial" w:eastAsia="Arial" w:hAnsi="Arial"/>
          <w:sz w:val="16"/>
          <w:szCs w:val="16"/>
          <w:color w:val="auto"/>
        </w:rPr>
        <w:t>. Braces call attention to the patient’s condition and treatment. In addition, braces trap food, which can further compromise</w:t>
      </w:r>
      <w:r>
        <w:rPr>
          <w:rFonts w:ascii="Arial" w:cs="Arial" w:eastAsia="Arial" w:hAnsi="Arial"/>
          <w:sz w:val="16"/>
          <w:szCs w:val="16"/>
          <w:i w:val="1"/>
          <w:iCs w:val="1"/>
          <w:color w:val="auto"/>
        </w:rPr>
        <w:t xml:space="preserve"> </w:t>
      </w:r>
      <w:r>
        <w:rPr>
          <w:rFonts w:ascii="Arial" w:cs="Arial" w:eastAsia="Arial" w:hAnsi="Arial"/>
          <w:sz w:val="16"/>
          <w:szCs w:val="16"/>
          <w:color w:val="auto"/>
        </w:rPr>
        <w:t>appearance. Braces can also result in permanent discoloration of teeth. Many adults associate braces with adolescence. As a result of these and other limitations, less than one percent of American adults with malocclusion elect traditional orthodontic treatment annually.</w:t>
      </w:r>
    </w:p>
    <w:p>
      <w:pPr>
        <w:spacing w:after="0" w:line="38" w:lineRule="exact"/>
        <w:rPr>
          <w:rFonts w:ascii="Arial" w:cs="Arial" w:eastAsia="Arial" w:hAnsi="Arial"/>
          <w:sz w:val="16"/>
          <w:szCs w:val="16"/>
          <w:color w:val="auto"/>
        </w:rPr>
      </w:pPr>
    </w:p>
    <w:p>
      <w:pPr>
        <w:ind w:left="540" w:right="340" w:hanging="172"/>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Oral discomfort</w:t>
      </w:r>
      <w:r>
        <w:rPr>
          <w:rFonts w:ascii="Arial" w:cs="Arial" w:eastAsia="Arial" w:hAnsi="Arial"/>
          <w:sz w:val="17"/>
          <w:szCs w:val="17"/>
          <w:color w:val="auto"/>
        </w:rPr>
        <w:t>. Braces are sharp and bulky and can abrade and irritate the interior surfaces of the mouth. The tightening or adjustment of braces</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in root and gum soreness and discomfort, especially in the few days immediately following an orthodontic visit.</w:t>
      </w:r>
    </w:p>
    <w:p>
      <w:pPr>
        <w:spacing w:after="0" w:line="38" w:lineRule="exact"/>
        <w:rPr>
          <w:rFonts w:ascii="Arial" w:cs="Arial" w:eastAsia="Arial" w:hAnsi="Arial"/>
          <w:sz w:val="17"/>
          <w:szCs w:val="17"/>
          <w:color w:val="auto"/>
        </w:rPr>
      </w:pPr>
    </w:p>
    <w:p>
      <w:pPr>
        <w:ind w:left="540" w:right="38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Poor oral hygiene</w:t>
      </w:r>
      <w:r>
        <w:rPr>
          <w:rFonts w:ascii="Arial" w:cs="Arial" w:eastAsia="Arial" w:hAnsi="Arial"/>
          <w:sz w:val="18"/>
          <w:szCs w:val="18"/>
          <w:color w:val="auto"/>
        </w:rPr>
        <w:t>. Braces compromise oral hygiene by making it more difficult to brush and floss. These problems can result in tooth decay and</w:t>
      </w:r>
      <w:r>
        <w:rPr>
          <w:rFonts w:ascii="Arial" w:cs="Arial" w:eastAsia="Arial" w:hAnsi="Arial"/>
          <w:sz w:val="18"/>
          <w:szCs w:val="18"/>
          <w:i w:val="1"/>
          <w:iCs w:val="1"/>
          <w:color w:val="auto"/>
        </w:rPr>
        <w:t xml:space="preserve"> </w:t>
      </w:r>
      <w:r>
        <w:rPr>
          <w:rFonts w:ascii="Arial" w:cs="Arial" w:eastAsia="Arial" w:hAnsi="Arial"/>
          <w:sz w:val="18"/>
          <w:szCs w:val="18"/>
          <w:color w:val="auto"/>
        </w:rPr>
        <w:t>periodontal damage. Additionally, the bonding of brackets to teeth can cause permanent markings on the teeth.</w:t>
      </w:r>
    </w:p>
    <w:p>
      <w:pPr>
        <w:spacing w:after="0" w:line="62" w:lineRule="exact"/>
        <w:rPr>
          <w:rFonts w:ascii="Arial" w:cs="Arial" w:eastAsia="Arial" w:hAnsi="Arial"/>
          <w:sz w:val="18"/>
          <w:szCs w:val="18"/>
          <w:color w:val="auto"/>
        </w:rPr>
      </w:pPr>
    </w:p>
    <w:p>
      <w:pPr>
        <w:jc w:val="both"/>
        <w:ind w:left="540" w:right="380" w:hanging="172"/>
        <w:spacing w:after="0" w:line="34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Inability to project treatment</w:t>
      </w:r>
      <w:r>
        <w:rPr>
          <w:rFonts w:ascii="Arial" w:cs="Arial" w:eastAsia="Arial" w:hAnsi="Arial"/>
          <w:sz w:val="16"/>
          <w:szCs w:val="16"/>
          <w:color w:val="auto"/>
        </w:rPr>
        <w:t>. Historically, dental professionals have not had a means to model the movement of teeth over a course of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dental professionals must rely on intuition and judgment to plan and project treatment. As a result, they cannot be precise about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100"/>
        <w:spacing w:after="0" w:line="264" w:lineRule="auto"/>
        <w:rPr>
          <w:sz w:val="20"/>
          <w:szCs w:val="20"/>
          <w:color w:val="auto"/>
        </w:rPr>
      </w:pPr>
      <w:r>
        <w:rPr>
          <w:rFonts w:ascii="Arial" w:cs="Arial" w:eastAsia="Arial" w:hAnsi="Arial"/>
          <w:sz w:val="18"/>
          <w:szCs w:val="18"/>
          <w:color w:val="auto"/>
        </w:rPr>
        <w:t>direction or distance of expected tooth movement between patient visits. This lack of predictability may result in unwanted tooth movements and can limit the dental professional’s ability to estimate the duration of treatment. Because most orthodontic treatment is performed on a fixed price basis, extended treatment duration reduces profitability for the dental professional.</w:t>
      </w:r>
    </w:p>
    <w:p>
      <w:pPr>
        <w:spacing w:after="0" w:line="73" w:lineRule="exact"/>
        <w:rPr>
          <w:sz w:val="20"/>
          <w:szCs w:val="20"/>
          <w:color w:val="auto"/>
        </w:rPr>
      </w:pPr>
    </w:p>
    <w:p>
      <w:pPr>
        <w:ind w:left="540" w:right="34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Physical demands on dental professional</w:t>
      </w:r>
      <w:r>
        <w:rPr>
          <w:rFonts w:ascii="Arial" w:cs="Arial" w:eastAsia="Arial" w:hAnsi="Arial"/>
          <w:sz w:val="18"/>
          <w:szCs w:val="18"/>
          <w:color w:val="auto"/>
        </w:rPr>
        <w:t>. The manipulation of wires and brackets requires sustained manual dexterity and visual acuity,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place other physical burdens on the dental professional.</w:t>
      </w:r>
    </w:p>
    <w:p>
      <w:pPr>
        <w:spacing w:after="0" w:line="62" w:lineRule="exact"/>
        <w:rPr>
          <w:rFonts w:ascii="Arial" w:cs="Arial" w:eastAsia="Arial" w:hAnsi="Arial"/>
          <w:sz w:val="18"/>
          <w:szCs w:val="18"/>
          <w:color w:val="auto"/>
        </w:rPr>
      </w:pPr>
    </w:p>
    <w:p>
      <w:pPr>
        <w:ind w:left="540" w:right="4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Root resorption</w:t>
      </w:r>
      <w:r>
        <w:rPr>
          <w:rFonts w:ascii="Arial" w:cs="Arial" w:eastAsia="Arial" w:hAnsi="Arial"/>
          <w:sz w:val="18"/>
          <w:szCs w:val="18"/>
          <w:color w:val="auto"/>
        </w:rPr>
        <w:t>. The sustained high levels of force associated with conventional treatment can result in root resorption, which is a shortening of tooth</w:t>
      </w:r>
      <w:r>
        <w:rPr>
          <w:rFonts w:ascii="Arial" w:cs="Arial" w:eastAsia="Arial" w:hAnsi="Arial"/>
          <w:sz w:val="18"/>
          <w:szCs w:val="18"/>
          <w:i w:val="1"/>
          <w:iCs w:val="1"/>
          <w:color w:val="auto"/>
        </w:rPr>
        <w:t xml:space="preserve"> </w:t>
      </w:r>
      <w:r>
        <w:rPr>
          <w:rFonts w:ascii="Arial" w:cs="Arial" w:eastAsia="Arial" w:hAnsi="Arial"/>
          <w:sz w:val="18"/>
          <w:szCs w:val="18"/>
          <w:color w:val="auto"/>
        </w:rPr>
        <w:t>roots. This shortening can have substantial adverse periodontal consequences for the patient.</w:t>
      </w:r>
    </w:p>
    <w:p>
      <w:pPr>
        <w:spacing w:after="0" w:line="62" w:lineRule="exact"/>
        <w:rPr>
          <w:rFonts w:ascii="Arial" w:cs="Arial" w:eastAsia="Arial" w:hAnsi="Arial"/>
          <w:sz w:val="18"/>
          <w:szCs w:val="18"/>
          <w:color w:val="auto"/>
        </w:rPr>
      </w:pPr>
    </w:p>
    <w:p>
      <w:pPr>
        <w:ind w:left="540" w:right="14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Emergencies</w:t>
      </w:r>
      <w:r>
        <w:rPr>
          <w:rFonts w:ascii="Arial" w:cs="Arial" w:eastAsia="Arial" w:hAnsi="Arial"/>
          <w:sz w:val="18"/>
          <w:szCs w:val="18"/>
          <w:color w:val="auto"/>
        </w:rPr>
        <w:t>. At times, braces need to be repaired or replaced on an emergency basis. Such emergencies cause significant inconvenience to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patient and the dental professional.</w:t>
      </w:r>
    </w:p>
    <w:p>
      <w:pPr>
        <w:spacing w:after="0" w:line="62" w:lineRule="exact"/>
        <w:rPr>
          <w:sz w:val="20"/>
          <w:szCs w:val="20"/>
          <w:color w:val="auto"/>
        </w:rPr>
      </w:pPr>
    </w:p>
    <w:p>
      <w:pPr>
        <w:jc w:val="both"/>
        <w:ind w:right="200" w:firstLine="360"/>
        <w:spacing w:after="0" w:line="312" w:lineRule="auto"/>
        <w:rPr>
          <w:sz w:val="20"/>
          <w:szCs w:val="20"/>
          <w:color w:val="auto"/>
        </w:rPr>
      </w:pPr>
      <w:r>
        <w:rPr>
          <w:rFonts w:ascii="Arial" w:cs="Arial" w:eastAsia="Arial" w:hAnsi="Arial"/>
          <w:sz w:val="16"/>
          <w:szCs w:val="16"/>
          <w:color w:val="auto"/>
        </w:rPr>
        <w:t>Due to the poor aesthetics, discomfort and other limitations of braces, relatively few people with malocclusion elect traditional orthodontic treatment. Accordingly, we believe there is a large unmet need for an orthodontic system that addresses these patient concerns. We also believe there is an unmet need among dental professionals for a treatment system that increases the predictability and efficiency of treatment and enhances practice profitability.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Align Solution</w:t>
      </w:r>
    </w:p>
    <w:p>
      <w:pPr>
        <w:spacing w:after="0" w:line="121"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Invisalign (which includes full Invisalign treatment and Invisalign Express discussed below under “Our Products”) is a proprietary system for treating malocclusion. The Invisalign treatment process is comprised of several phases, the principal steps of which are: the creation of electronic treatment plans using ClinCheck and the manufacturing of Invisalign aligners (referred to in this Form 10-K as “Aligners”). The complete Invisalign treatment process is described in greater detail under “Business—The Invisalign Treatment Process”.</w:t>
      </w:r>
    </w:p>
    <w:p>
      <w:pPr>
        <w:spacing w:after="0" w:line="7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 xml:space="preserve">ClinCheck. </w:t>
      </w:r>
      <w:r>
        <w:rPr>
          <w:rFonts w:ascii="Arial" w:cs="Arial" w:eastAsia="Arial" w:hAnsi="Arial"/>
          <w:sz w:val="18"/>
          <w:szCs w:val="18"/>
          <w:color w:val="auto"/>
        </w:rPr>
        <w:t>ClinCheck is an internally developed computer modeling program that allows dental professionals to diagnose and plan treatments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We use a dental impression and a treatment form submitted by a dental professional to develop a customized, three-dimensional treatment plan that simulates appropriate tooth movement in a series of two-week increments. ClinCheck allows the dental professional to view this three-dimensional simulation with a high degree of magnification and from any angle. Accordingly, ClinCheck enables the dental professional to project tooth movement with a level of accuracy not previously possible.</w:t>
      </w:r>
    </w:p>
    <w:p>
      <w:pPr>
        <w:spacing w:after="0" w:line="8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Upon review of the ClinCheck simulation, the dental professional may immediately approve the projected treatment, or may provide us with feedback for modification. We reflect any requested adjustments in a modified simulation. Upon the dental professional’s approval of the ClinCheck simulation, we use the data underlying the simulation, in conjunction with stereolithography technology, to manufacture Aligner molds. International Manufacturing Solutions Operaciones, S.R.L., or IMS, a third party shelter services provider in Juarez, Mexico, manufactures the molds and then uses these molds to fabricate the patient’s Aligners.</w:t>
      </w:r>
    </w:p>
    <w:p>
      <w:pPr>
        <w:spacing w:after="0" w:line="80" w:lineRule="exact"/>
        <w:rPr>
          <w:sz w:val="20"/>
          <w:szCs w:val="20"/>
          <w:color w:val="auto"/>
        </w:rPr>
      </w:pPr>
    </w:p>
    <w:p>
      <w:pPr>
        <w:jc w:val="both"/>
        <w:ind w:right="240" w:firstLine="360"/>
        <w:spacing w:after="0" w:line="276" w:lineRule="auto"/>
        <w:rPr>
          <w:sz w:val="20"/>
          <w:szCs w:val="20"/>
          <w:color w:val="auto"/>
        </w:rPr>
      </w:pPr>
      <w:r>
        <w:rPr>
          <w:rFonts w:ascii="Arial" w:cs="Arial" w:eastAsia="Arial" w:hAnsi="Arial"/>
          <w:sz w:val="17"/>
          <w:szCs w:val="17"/>
          <w:i w:val="1"/>
          <w:iCs w:val="1"/>
          <w:color w:val="auto"/>
        </w:rPr>
        <w:t xml:space="preserve">Aligners. </w:t>
      </w:r>
      <w:r>
        <w:rPr>
          <w:rFonts w:ascii="Arial" w:cs="Arial" w:eastAsia="Arial" w:hAnsi="Arial"/>
          <w:sz w:val="17"/>
          <w:szCs w:val="17"/>
          <w:color w:val="auto"/>
        </w:rPr>
        <w:t>Aligners are custom-manufactured, thin, clear plastic, removable dental appliances that are manufactured in a series to correspond to each</w:t>
      </w:r>
      <w:r>
        <w:rPr>
          <w:rFonts w:ascii="Arial" w:cs="Arial" w:eastAsia="Arial" w:hAnsi="Arial"/>
          <w:sz w:val="17"/>
          <w:szCs w:val="17"/>
          <w:i w:val="1"/>
          <w:iCs w:val="1"/>
          <w:color w:val="auto"/>
        </w:rPr>
        <w:t xml:space="preserve"> </w:t>
      </w:r>
      <w:r>
        <w:rPr>
          <w:rFonts w:ascii="Arial" w:cs="Arial" w:eastAsia="Arial" w:hAnsi="Arial"/>
          <w:sz w:val="17"/>
          <w:szCs w:val="17"/>
          <w:color w:val="auto"/>
        </w:rPr>
        <w:t>two-week stage of the ClinCheck simulation. Aligners are customized to perform the treatment prescribed for an individual patient by dental professionals using ClinCheck. Each Aligner covers a patient’s teeth and is nearly invisible when worn. Aligners are commonly worn in pairs, over the upper and lower dental arches. Aligners are generally worn for consecutive two-week periods which correspond to the approved ClinCheck treatment simulation. After two weeks of use, the patient replaces them with the next pair in the series. This process is repeated until the final</w:t>
      </w:r>
    </w:p>
    <w:p>
      <w:pPr>
        <w:sectPr>
          <w:pgSz w:w="11900" w:h="16838" w:orient="portrait"/>
          <w:cols w:equalWidth="0" w:num="1">
            <w:col w:w="11400"/>
          </w:cols>
          <w:pgMar w:left="240" w:top="125" w:right="259" w:bottom="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0" w:gutter="0" w:footer="0" w:header="0"/>
          <w:type w:val="continuous"/>
        </w:sectPr>
      </w:pPr>
    </w:p>
    <w:bookmarkStart w:id="3" w:name="page4"/>
    <w:bookmarkEnd w:id="3"/>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right="200"/>
        <w:spacing w:after="0" w:line="277" w:lineRule="auto"/>
        <w:rPr>
          <w:sz w:val="20"/>
          <w:szCs w:val="20"/>
          <w:color w:val="auto"/>
        </w:rPr>
      </w:pPr>
      <w:r>
        <w:rPr>
          <w:rFonts w:ascii="Arial" w:cs="Arial" w:eastAsia="Arial" w:hAnsi="Arial"/>
          <w:sz w:val="18"/>
          <w:szCs w:val="18"/>
          <w:color w:val="auto"/>
        </w:rPr>
        <w:t>Aligners are used and treatment is complete. Upon completion of the treatment, the dental professional may, at his or her discretion, have the patient use an Invisalign retainer or go directly to a conventional retainer.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vast majority of our revenue is generated from the sale of full Invisalign treatment and Invisalign Express treatment.</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i w:val="1"/>
          <w:iCs w:val="1"/>
          <w:color w:val="auto"/>
        </w:rPr>
        <w:t xml:space="preserve">Full Invisalign Treatment. </w:t>
      </w:r>
      <w:r>
        <w:rPr>
          <w:rFonts w:ascii="Arial" w:cs="Arial" w:eastAsia="Arial" w:hAnsi="Arial"/>
          <w:sz w:val="18"/>
          <w:szCs w:val="18"/>
          <w:color w:val="auto"/>
        </w:rPr>
        <w:t>Commercial sales of full Invisalign treatment commenced in the U.S. in July 1999. Our traditional, full Invisalign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option is intended to be used as a complete treatment for a broad range of malocclusions. Each treatment plan is unique to the individual patient and will consist of as many Aligners as indicated by ClinCheck in order to achieve the doctor’s treatment goals. In fiscal 2006, approximately 81% of our net revenue was generated by the sale of full Invisalign treatment.</w:t>
      </w:r>
    </w:p>
    <w:p>
      <w:pPr>
        <w:spacing w:after="0" w:line="79"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i w:val="1"/>
          <w:iCs w:val="1"/>
          <w:color w:val="auto"/>
        </w:rPr>
        <w:t xml:space="preserve">Invisalign Express. </w:t>
      </w:r>
      <w:r>
        <w:rPr>
          <w:rFonts w:ascii="Arial" w:cs="Arial" w:eastAsia="Arial" w:hAnsi="Arial"/>
          <w:sz w:val="18"/>
          <w:szCs w:val="18"/>
          <w:color w:val="auto"/>
        </w:rPr>
        <w:t>In the third quarter of 2005, we launched Invisalign Express, a lower-cost solution for less complex orthodontic cases. Invisalign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 is a dual arch orthodontic treatment for cases that meet certain predetermined clinical criteria and consist of up to ten Aligners. Invisalign Express is intended to help a broader range of patients elect orthodontic treatment by providing a lower-cost option for adult relapse cases, for minor crowding and spacing, and as a pre-cursor to restorative or cosmetic treatments such as veneers. In fiscal 2006, approximately 13% of our net revenue was generated by the sale of Invisalign Express.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Ancillary and Other.  </w:t>
      </w:r>
      <w:r>
        <w:rPr>
          <w:rFonts w:ascii="Arial" w:cs="Arial" w:eastAsia="Arial" w:hAnsi="Arial"/>
          <w:sz w:val="18"/>
          <w:szCs w:val="18"/>
          <w:color w:val="auto"/>
        </w:rPr>
        <w:t>The remaining 6% of our net revenue is generated by training fees and sales of ancillary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Invisalign</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We believe that Invisalign provides benefits to dental professionals and patients that have the potential to establish Invisalign as the preferred alternative to conventional braces.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Benefits to the dental professional</w:t>
      </w:r>
    </w:p>
    <w:p>
      <w:pPr>
        <w:spacing w:after="0" w:line="117" w:lineRule="exact"/>
        <w:rPr>
          <w:sz w:val="20"/>
          <w:szCs w:val="20"/>
          <w:color w:val="auto"/>
        </w:rPr>
      </w:pPr>
    </w:p>
    <w:p>
      <w:pPr>
        <w:ind w:left="540" w:hanging="17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Ability to visualize treatment and likely outcomes</w:t>
      </w:r>
      <w:r>
        <w:rPr>
          <w:rFonts w:ascii="Arial" w:cs="Arial" w:eastAsia="Arial" w:hAnsi="Arial"/>
          <w:sz w:val="18"/>
          <w:szCs w:val="18"/>
          <w:color w:val="auto"/>
        </w:rPr>
        <w:t>. ClinCheck enables dental professionals to preview a course of treatment and the likely outcome of</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in an interactive three-dimensional computer model. ClinCheck allows dental professionals to analyze multiple treatment alternatives before selecting the course of action they feel is most appropriate for the patient.</w:t>
      </w:r>
    </w:p>
    <w:p>
      <w:pPr>
        <w:spacing w:after="0" w:line="73" w:lineRule="exact"/>
        <w:rPr>
          <w:rFonts w:ascii="Arial" w:cs="Arial" w:eastAsia="Arial" w:hAnsi="Arial"/>
          <w:sz w:val="18"/>
          <w:szCs w:val="18"/>
          <w:color w:val="auto"/>
        </w:rPr>
      </w:pPr>
    </w:p>
    <w:p>
      <w:pPr>
        <w:ind w:left="540" w:right="20" w:hanging="172"/>
        <w:spacing w:after="0" w:line="31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Begin using Invisalign with minimal additional training</w:t>
      </w:r>
      <w:r>
        <w:rPr>
          <w:rFonts w:ascii="Arial" w:cs="Arial" w:eastAsia="Arial" w:hAnsi="Arial"/>
          <w:sz w:val="16"/>
          <w:szCs w:val="16"/>
          <w:color w:val="auto"/>
        </w:rPr>
        <w:t>. The biomechanical principles that underlie treatment with the Invisalign system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those of traditional orthodontics. Dental professionals can complete our initial training within two days. We provide additional clinical support following the initial training and encourage dental professionals to attend continuing education classes, seminars and workshops.</w:t>
      </w:r>
    </w:p>
    <w:p>
      <w:pPr>
        <w:spacing w:after="0" w:line="38" w:lineRule="exact"/>
        <w:rPr>
          <w:rFonts w:ascii="Arial" w:cs="Arial" w:eastAsia="Arial" w:hAnsi="Arial"/>
          <w:sz w:val="16"/>
          <w:szCs w:val="16"/>
          <w:color w:val="auto"/>
        </w:rPr>
      </w:pPr>
    </w:p>
    <w:p>
      <w:pPr>
        <w:ind w:left="540" w:right="220" w:hanging="172"/>
        <w:spacing w:after="0" w:line="25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Expanded patient base</w:t>
      </w:r>
      <w:r>
        <w:rPr>
          <w:rFonts w:ascii="Arial" w:cs="Arial" w:eastAsia="Arial" w:hAnsi="Arial"/>
          <w:sz w:val="18"/>
          <w:szCs w:val="18"/>
          <w:color w:val="auto"/>
        </w:rPr>
        <w:t>. We believe that Invisalign has the potential to transform the practice of orthodontics. Currently, approximately two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people annually elect treatment by orthodontists in the U.S. These patients represent approximately 1 percent of the population of people with malocclusion. Of these, we estimate approximately 45 percent, or approximately 900,000 patients have mature dentition with mild to moderate malocclusion and are therefore potential candidates for Invisalign. We believe that Invisalign will allow dental professionals to attract patients who would not otherwise seek orthodontic treatment.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140" w:hanging="17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Decreased dental professional and staff time</w:t>
      </w:r>
      <w:r>
        <w:rPr>
          <w:rFonts w:ascii="Arial" w:cs="Arial" w:eastAsia="Arial" w:hAnsi="Arial"/>
          <w:sz w:val="18"/>
          <w:szCs w:val="18"/>
          <w:color w:val="auto"/>
        </w:rPr>
        <w:t>. Invisalign eliminates the need for time-intensive processes such as bonding appliances to the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teeth, adjusting archwires during the course of treatment and removing the appliances at the conclusion of treatment. As such, use of Invisalign reduces dental professional and staff chair time and can increase practice capacity.</w:t>
      </w:r>
    </w:p>
    <w:p>
      <w:pPr>
        <w:spacing w:after="0" w:line="73" w:lineRule="exact"/>
        <w:rPr>
          <w:rFonts w:ascii="Arial" w:cs="Arial" w:eastAsia="Arial" w:hAnsi="Arial"/>
          <w:sz w:val="18"/>
          <w:szCs w:val="18"/>
          <w:color w:val="auto"/>
        </w:rPr>
      </w:pPr>
    </w:p>
    <w:p>
      <w:pPr>
        <w:ind w:left="540" w:right="20" w:hanging="17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Practice productivity</w:t>
      </w:r>
      <w:r>
        <w:rPr>
          <w:rFonts w:ascii="Arial" w:cs="Arial" w:eastAsia="Arial" w:hAnsi="Arial"/>
          <w:sz w:val="17"/>
          <w:szCs w:val="17"/>
          <w:color w:val="auto"/>
        </w:rPr>
        <w:t>. We believe that as dental professionals move to a higher volume of Invisalign patients, they will be able to better leverage their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resources, including office space and staff time, resulting in an increase in daily patient appointments and practice productivity.</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Benefits to the Patient</w:t>
      </w:r>
    </w:p>
    <w:p>
      <w:pPr>
        <w:spacing w:after="0" w:line="117" w:lineRule="exact"/>
        <w:rPr>
          <w:sz w:val="20"/>
          <w:szCs w:val="20"/>
          <w:color w:val="auto"/>
        </w:rPr>
      </w:pPr>
    </w:p>
    <w:p>
      <w:pPr>
        <w:ind w:left="500" w:hanging="132"/>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Excellent aesthetics</w:t>
      </w:r>
      <w:r>
        <w:rPr>
          <w:rFonts w:ascii="Arial" w:cs="Arial" w:eastAsia="Arial" w:hAnsi="Arial"/>
          <w:sz w:val="17"/>
          <w:szCs w:val="17"/>
          <w:color w:val="auto"/>
        </w:rPr>
        <w:t>.  Aligners are nearly invisible when worn, significantly reducing the aesthetic concerns associated with conventional braces.</w:t>
      </w:r>
    </w:p>
    <w:p>
      <w:pPr>
        <w:spacing w:after="0" w:line="128" w:lineRule="exact"/>
        <w:rPr>
          <w:rFonts w:ascii="Arial" w:cs="Arial" w:eastAsia="Arial" w:hAnsi="Arial"/>
          <w:sz w:val="17"/>
          <w:szCs w:val="17"/>
          <w:color w:val="auto"/>
        </w:rPr>
      </w:pPr>
    </w:p>
    <w:p>
      <w:pPr>
        <w:ind w:left="540" w:right="80" w:hanging="172"/>
        <w:spacing w:after="0" w:line="342"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Comfort</w:t>
      </w:r>
      <w:r>
        <w:rPr>
          <w:rFonts w:ascii="Arial" w:cs="Arial" w:eastAsia="Arial" w:hAnsi="Arial"/>
          <w:sz w:val="16"/>
          <w:szCs w:val="16"/>
          <w:color w:val="auto"/>
        </w:rPr>
        <w:t>. By replacing the six-week adjustment cycle of traditional braces with two-week stages, Aligners move teeth more gently than conventional</w:t>
      </w:r>
      <w:r>
        <w:rPr>
          <w:rFonts w:ascii="Arial" w:cs="Arial" w:eastAsia="Arial" w:hAnsi="Arial"/>
          <w:sz w:val="16"/>
          <w:szCs w:val="16"/>
          <w:i w:val="1"/>
          <w:iCs w:val="1"/>
          <w:color w:val="auto"/>
        </w:rPr>
        <w:t xml:space="preserve"> </w:t>
      </w:r>
      <w:r>
        <w:rPr>
          <w:rFonts w:ascii="Arial" w:cs="Arial" w:eastAsia="Arial" w:hAnsi="Arial"/>
          <w:sz w:val="16"/>
          <w:szCs w:val="16"/>
          <w:color w:val="auto"/>
        </w:rPr>
        <w:t>braces. Also, Aligners are thin, smooth and low in profile. As a result, Aligners are more comfortable and less abrasive than conventional braces.</w:t>
      </w:r>
    </w:p>
    <w:p>
      <w:pPr>
        <w:spacing w:after="0" w:line="15" w:lineRule="exact"/>
        <w:rPr>
          <w:rFonts w:ascii="Arial" w:cs="Arial" w:eastAsia="Arial" w:hAnsi="Arial"/>
          <w:sz w:val="16"/>
          <w:szCs w:val="16"/>
          <w:color w:val="auto"/>
        </w:rPr>
      </w:pPr>
    </w:p>
    <w:p>
      <w:pPr>
        <w:ind w:left="540" w:right="180" w:hanging="172"/>
        <w:spacing w:after="0" w:line="342"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Improved oral hygiene</w:t>
      </w:r>
      <w:r>
        <w:rPr>
          <w:rFonts w:ascii="Arial" w:cs="Arial" w:eastAsia="Arial" w:hAnsi="Arial"/>
          <w:sz w:val="16"/>
          <w:szCs w:val="16"/>
          <w:color w:val="auto"/>
        </w:rPr>
        <w:t>. Patients can remove Aligners for tasks that are difficult with conventional braces, such as eating, brushing and flossing.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this feature has the potential to reduce tooth decay and periodontal damage during treatment, which may result from conventional braces.</w:t>
      </w:r>
    </w:p>
    <w:p>
      <w:pPr>
        <w:spacing w:after="0" w:line="15" w:lineRule="exact"/>
        <w:rPr>
          <w:rFonts w:ascii="Arial" w:cs="Arial" w:eastAsia="Arial" w:hAnsi="Arial"/>
          <w:sz w:val="16"/>
          <w:szCs w:val="16"/>
          <w:color w:val="auto"/>
        </w:rPr>
      </w:pPr>
    </w:p>
    <w:p>
      <w:pPr>
        <w:ind w:left="540" w:right="100" w:hanging="17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Potentially reduced overall treatment time</w:t>
      </w:r>
      <w:r>
        <w:rPr>
          <w:rFonts w:ascii="Arial" w:cs="Arial" w:eastAsia="Arial" w:hAnsi="Arial"/>
          <w:sz w:val="18"/>
          <w:szCs w:val="18"/>
          <w:color w:val="auto"/>
        </w:rPr>
        <w:t>. Aligners control force by distributing it broadly over the exposed surfaces of the teeth.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ClinCheck simulation from which Aligners are produced is designed to reduce unintended and unnecessary tooth movements. Together, these factors may reduce overall treatment time relative to conventional braces.</w:t>
      </w:r>
    </w:p>
    <w:p>
      <w:pPr>
        <w:spacing w:after="0" w:line="73" w:lineRule="exact"/>
        <w:rPr>
          <w:rFonts w:ascii="Arial" w:cs="Arial" w:eastAsia="Arial" w:hAnsi="Arial"/>
          <w:sz w:val="18"/>
          <w:szCs w:val="18"/>
          <w:color w:val="auto"/>
        </w:rPr>
      </w:pPr>
    </w:p>
    <w:p>
      <w:pPr>
        <w:ind w:left="540" w:right="14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Potentially reduced root resorption</w:t>
      </w:r>
      <w:r>
        <w:rPr>
          <w:rFonts w:ascii="Arial" w:cs="Arial" w:eastAsia="Arial" w:hAnsi="Arial"/>
          <w:sz w:val="18"/>
          <w:szCs w:val="18"/>
          <w:color w:val="auto"/>
        </w:rPr>
        <w:t>. We believe that controlling force and shortening treatment time has the potential to reduce the incidence of root</w:t>
      </w:r>
      <w:r>
        <w:rPr>
          <w:rFonts w:ascii="Arial" w:cs="Arial" w:eastAsia="Arial" w:hAnsi="Arial"/>
          <w:sz w:val="18"/>
          <w:szCs w:val="18"/>
          <w:i w:val="1"/>
          <w:iCs w:val="1"/>
          <w:color w:val="auto"/>
        </w:rPr>
        <w:t xml:space="preserve"> </w:t>
      </w:r>
      <w:r>
        <w:rPr>
          <w:rFonts w:ascii="Arial" w:cs="Arial" w:eastAsia="Arial" w:hAnsi="Arial"/>
          <w:sz w:val="18"/>
          <w:szCs w:val="18"/>
          <w:color w:val="auto"/>
        </w:rPr>
        <w:t>resorption, which is the breakdown or destruction of root structure.</w:t>
      </w:r>
    </w:p>
    <w:p>
      <w:pPr>
        <w:spacing w:after="0" w:line="62" w:lineRule="exact"/>
        <w:rPr>
          <w:rFonts w:ascii="Arial" w:cs="Arial" w:eastAsia="Arial" w:hAnsi="Arial"/>
          <w:sz w:val="18"/>
          <w:szCs w:val="18"/>
          <w:color w:val="auto"/>
        </w:rPr>
      </w:pPr>
    </w:p>
    <w:p>
      <w:pPr>
        <w:ind w:left="540" w:right="26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Reduced incidence of emergencies</w:t>
      </w:r>
      <w:r>
        <w:rPr>
          <w:rFonts w:ascii="Arial" w:cs="Arial" w:eastAsia="Arial" w:hAnsi="Arial"/>
          <w:sz w:val="18"/>
          <w:szCs w:val="18"/>
          <w:color w:val="auto"/>
        </w:rPr>
        <w:t>. Typically, a lost or broken Aligner is simply replaced with the next Aligner in the treatment series, minimizing</w:t>
      </w:r>
      <w:r>
        <w:rPr>
          <w:rFonts w:ascii="Arial" w:cs="Arial" w:eastAsia="Arial" w:hAnsi="Arial"/>
          <w:sz w:val="18"/>
          <w:szCs w:val="18"/>
          <w:i w:val="1"/>
          <w:iCs w:val="1"/>
          <w:color w:val="auto"/>
        </w:rPr>
        <w:t xml:space="preserve"> </w:t>
      </w:r>
      <w:r>
        <w:rPr>
          <w:rFonts w:ascii="Arial" w:cs="Arial" w:eastAsia="Arial" w:hAnsi="Arial"/>
          <w:sz w:val="18"/>
          <w:szCs w:val="18"/>
          <w:color w:val="auto"/>
        </w:rPr>
        <w:t>inconvenience to both patient and dental professional.</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these benefits will prove attractive to people who currently do not seek treatment because of the limitations of conventional braces.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Invisalign</w:t>
      </w:r>
    </w:p>
    <w:p>
      <w:pPr>
        <w:spacing w:after="0" w:line="121"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In some instances, the Invisalign system may have certain limitations relative to conventional treatment. Aligners cost more to produce than conventional braces, and we charge dental professionals more than they generally pay for the supplies used in conventional treatment. Depending on the individual pricing policies of each dental professional, the cost of full Invisalign treatment to the patient may be greater than for conventional braces. Dental professionals must also incorporate our manufacturing cycle times into their overall treatment plan. Once a dental professional submits a case to us, there is</w:t>
      </w:r>
    </w:p>
    <w:p>
      <w:pPr>
        <w:sectPr>
          <w:pgSz w:w="11900" w:h="16891" w:orient="portrait"/>
          <w:cols w:equalWidth="0" w:num="1">
            <w:col w:w="11380"/>
          </w:cols>
          <w:pgMar w:left="240" w:top="868" w:right="279" w:bottom="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t>generally a turn-around time of a month or more before the corresponding Aligners are delivered. Aligners may not be appropriate for all cases, such as severe malocclusion, which may require Aligners to be used in combination with conventional braces for optimal results. In addition, because Aligners are removable, treatment using Invisalign depends on patients wearing their Aligners as recommended. Some patients may experience a temporary period of adjustment to wearing Aligners that may mildly affect speech. In some instances, patients have experienced scratched or irritated gums, cheeks and lips and in some rare instances allergic reactions have occurred. We believe that these limitations are generally outweighed by the many benefits of Invisalign to both patients and dental professionals.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 and Patient Base</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We currently market Invisalign to treat patients with mature dentition. Individuals with mature dentition have fully erupted second molars and substantially completed jaw growth, which typically occurs between the ages of 11 and 15 years. We do not treat children whose teeth and jaws are still developing, as the effectiveness of Invisalign relies on our ability to accurately predict the movement of teeth over the course of treatment. Based on our clinical studies to date, we recommend that dental professionals use Invisalign as a complete treatment for a broad range of malocclusions and as a component of treatment for severe malocclusions. We estimate 45 percent of the people who annually elect treatment by orthodontists in the U.S., or more than 900,000 patients, have mature dentition and are therefore potential candidates for Invisalign. Our market research indicates that the vast majority of people with malocclusion who desire treatment do not elect traditional treatment because of its many limitations. We believe that, since Invisalign addresses the primary limitations of braces, persons with malocclusion will be more likely to seek treatment. We believe that adults, who are particularly sensitive to the aesthetic limitations of traditional treatment, represent our most immediate and significant market expansion opportunity.</w:t>
      </w:r>
    </w:p>
    <w:p>
      <w:pPr>
        <w:spacing w:after="0" w:line="74"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In an effort to more fully penetrate our target market, in August 2005, we launched Invisalign Express, a lower-cost solution for less complex cases. Invisalign Express is a simple, dual arch orthodontic treatment for cases that meet certain predetermined clinical criteria and consist of up to ten Aligners. We expect Invisalign Express will increase the overall market for Invisalign, as patients who would not have otherwise sought orthodontic treatment due to its relatively high cost are introduced to this lower-cost treatment option. We continue to market and sell our traditional full Invisalign treatment option for more complex cases.</w:t>
      </w:r>
    </w:p>
    <w:p>
      <w:pPr>
        <w:spacing w:after="0" w:line="80" w:lineRule="exact"/>
        <w:rPr>
          <w:sz w:val="20"/>
          <w:szCs w:val="20"/>
          <w:color w:val="auto"/>
        </w:rPr>
      </w:pPr>
    </w:p>
    <w:p>
      <w:pPr>
        <w:ind w:right="320" w:firstLine="360"/>
        <w:spacing w:after="0" w:line="312" w:lineRule="auto"/>
        <w:rPr>
          <w:sz w:val="20"/>
          <w:szCs w:val="20"/>
          <w:color w:val="auto"/>
        </w:rPr>
      </w:pPr>
      <w:r>
        <w:rPr>
          <w:rFonts w:ascii="Arial" w:cs="Arial" w:eastAsia="Arial" w:hAnsi="Arial"/>
          <w:sz w:val="16"/>
          <w:szCs w:val="16"/>
          <w:color w:val="auto"/>
        </w:rPr>
        <w:t>As of December 31, 2006, approximately 529,000 patients worldwide have started treatment using Invisalign. Internationally, we operate in the geographic regions of Europe, Asia-Pacific, Japan and Latin America. In 2006, international sales accounted for 16% of our net revenues. A geographic breakdown of our net revenues is summarized in Note 15 “Segments and Geographic Information” in the Notes to our Consolidated Financial Statements.</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each of fiscal 2006, 2005 and 2004, no single customer accounted for 10% or more of our total net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Our objective is to establish Invisalign as the standard method for treating orthodontic malocclusion through customer responsiveness, product leadership and operational effectiveness. Key elements of our strategy include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Responsiveness</w:t>
      </w:r>
    </w:p>
    <w:p>
      <w:pPr>
        <w:spacing w:after="0" w:line="117"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i w:val="1"/>
          <w:iCs w:val="1"/>
          <w:color w:val="auto"/>
        </w:rPr>
        <w:t xml:space="preserve">Focus on education and customer support. </w:t>
      </w:r>
      <w:r>
        <w:rPr>
          <w:rFonts w:ascii="Arial" w:cs="Arial" w:eastAsia="Arial" w:hAnsi="Arial"/>
          <w:sz w:val="18"/>
          <w:szCs w:val="18"/>
          <w:color w:val="auto"/>
        </w:rPr>
        <w:t>In order to build long-term relationships with our customers, we focus on delivering superior training,</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and services. Each year, we provide numerous clinical education and training programs, which include certification classes, conference calls, seminars and workshops. By participating in these events, we believe that our customers will emerge with a better understanding of the product and its applicability, and with a greater awareness for starting and finishing Invisalign cases. We also maintain an online clinical education center which is intended to augment our training workshops, conference calls and seminars by enabling Invisalign-trained doctors to obtain continuing education credits and access a full range of case studies and best practices. As of December 31, 2006, we had trained approximately 40,800 dental professionals worldwide on the use and benefits of Invisalign.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i w:val="1"/>
          <w:iCs w:val="1"/>
          <w:color w:val="auto"/>
        </w:rPr>
        <w:t xml:space="preserve">Educate future orthodontists and general practitioners. </w:t>
      </w:r>
      <w:r>
        <w:rPr>
          <w:rFonts w:ascii="Arial" w:cs="Arial" w:eastAsia="Arial" w:hAnsi="Arial"/>
          <w:sz w:val="18"/>
          <w:szCs w:val="18"/>
          <w:color w:val="auto"/>
        </w:rPr>
        <w:t>By educating dental students and orthodontic residents on the benefits of the Invisalign</w:t>
      </w:r>
      <w:r>
        <w:rPr>
          <w:rFonts w:ascii="Arial" w:cs="Arial" w:eastAsia="Arial" w:hAnsi="Arial"/>
          <w:sz w:val="18"/>
          <w:szCs w:val="18"/>
          <w:i w:val="1"/>
          <w:iCs w:val="1"/>
          <w:color w:val="auto"/>
        </w:rPr>
        <w:t xml:space="preserve"> </w:t>
      </w:r>
      <w:r>
        <w:rPr>
          <w:rFonts w:ascii="Arial" w:cs="Arial" w:eastAsia="Arial" w:hAnsi="Arial"/>
          <w:sz w:val="18"/>
          <w:szCs w:val="18"/>
          <w:color w:val="auto"/>
        </w:rPr>
        <w:t>technique, we believe they will be more likely to use this technology in their future practices and offer Invisalign as a treatment option. Currently, we have incorporated the Invisalign technique into the curriculum of 38 university programs. We expect additional dental schools to integrate the Invisalign technique into their curricula in the future.</w:t>
      </w:r>
    </w:p>
    <w:p>
      <w:pPr>
        <w:spacing w:after="0" w:line="79"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i w:val="1"/>
          <w:iCs w:val="1"/>
          <w:color w:val="auto"/>
        </w:rPr>
        <w:t xml:space="preserve">Stimulate demand for Invisalign treatment. </w:t>
      </w:r>
      <w:r>
        <w:rPr>
          <w:rFonts w:ascii="Arial" w:cs="Arial" w:eastAsia="Arial" w:hAnsi="Arial"/>
          <w:sz w:val="17"/>
          <w:szCs w:val="17"/>
          <w:color w:val="auto"/>
        </w:rPr>
        <w:t>Our market research indicates that the vast majority of people with malocclusion who desire treatment do</w:t>
      </w:r>
      <w:r>
        <w:rPr>
          <w:rFonts w:ascii="Arial" w:cs="Arial" w:eastAsia="Arial" w:hAnsi="Arial"/>
          <w:sz w:val="17"/>
          <w:szCs w:val="17"/>
          <w:i w:val="1"/>
          <w:iCs w:val="1"/>
          <w:color w:val="auto"/>
        </w:rPr>
        <w:t xml:space="preserve"> </w:t>
      </w:r>
      <w:r>
        <w:rPr>
          <w:rFonts w:ascii="Arial" w:cs="Arial" w:eastAsia="Arial" w:hAnsi="Arial"/>
          <w:sz w:val="17"/>
          <w:szCs w:val="17"/>
          <w:color w:val="auto"/>
        </w:rPr>
        <w:t>not elect traditional treatment because of its many limitations, such as compromised aesthetics and oral discomfort. By communicating the benefits of Invisalign to both dental professionals and consumers, we intend to increase the number of patients who seek orthodontic treatment annually. In 2007, we expect to increase the overall marketing spending in the United States with a focus on programs designed to raise the profile of Invisalign and drive more consumers to our most experienced doctors. We also intend to initiate similar consumer marketing efforts, but on a smaller scale, in key European countries. We believe that this increased consumer awareness of Invisalign will increase the market for our products.</w:t>
      </w:r>
    </w:p>
    <w:p>
      <w:pPr>
        <w:spacing w:after="0" w:line="70" w:lineRule="exact"/>
        <w:rPr>
          <w:sz w:val="20"/>
          <w:szCs w:val="20"/>
          <w:color w:val="auto"/>
        </w:rPr>
      </w:pPr>
    </w:p>
    <w:p>
      <w:pPr>
        <w:ind w:right="220" w:firstLine="360"/>
        <w:spacing w:after="0" w:line="284" w:lineRule="auto"/>
        <w:rPr>
          <w:sz w:val="20"/>
          <w:szCs w:val="20"/>
          <w:color w:val="auto"/>
        </w:rPr>
      </w:pPr>
      <w:r>
        <w:rPr>
          <w:rFonts w:ascii="Arial" w:cs="Arial" w:eastAsia="Arial" w:hAnsi="Arial"/>
          <w:sz w:val="16"/>
          <w:szCs w:val="16"/>
          <w:i w:val="1"/>
          <w:iCs w:val="1"/>
          <w:color w:val="auto"/>
        </w:rPr>
        <w:t xml:space="preserve">Penetration into our domestic market. </w:t>
      </w:r>
      <w:r>
        <w:rPr>
          <w:rFonts w:ascii="Arial" w:cs="Arial" w:eastAsia="Arial" w:hAnsi="Arial"/>
          <w:sz w:val="16"/>
          <w:szCs w:val="16"/>
          <w:color w:val="auto"/>
        </w:rPr>
        <w:t>We have two customer channels: the orthodontist and the general practitioner dentist, or GP. As specialists,</w:t>
      </w:r>
      <w:r>
        <w:rPr>
          <w:rFonts w:ascii="Arial" w:cs="Arial" w:eastAsia="Arial" w:hAnsi="Arial"/>
          <w:sz w:val="16"/>
          <w:szCs w:val="16"/>
          <w:i w:val="1"/>
          <w:iCs w:val="1"/>
          <w:color w:val="auto"/>
        </w:rPr>
        <w:t xml:space="preserve"> </w:t>
      </w:r>
      <w:r>
        <w:rPr>
          <w:rFonts w:ascii="Arial" w:cs="Arial" w:eastAsia="Arial" w:hAnsi="Arial"/>
          <w:sz w:val="16"/>
          <w:szCs w:val="16"/>
          <w:color w:val="auto"/>
        </w:rPr>
        <w:t>orthodontists are a critical part of our business, and we expect that orthodontists will continue to treat the majority of complex cases and continue to drive research for expanding Invisalign applications. However, there exists a significantly greater number of GPs in North America than orthodontists. As the primary care dental provider, GPs have access to a greater number of patients than orthodontists, and possess a unique opportunity to educate these patients and introduce them to Invisalign. GPs also have the ability to refer appropriate cases to orthodontists and, in certain instances, may choose to treat less complex cases themselves. We are committed to improving the collaboration and referral relationships between orthodontists and GPs. We continue</w:t>
      </w:r>
    </w:p>
    <w:p>
      <w:pPr>
        <w:spacing w:after="0" w:line="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to support study clubs, which pair experienced orthodontists with less experienced GPs. These orthodontists act as mentors to the GPs and lend them support and guidance in their Invisalign practice. Through these study clubs, GPs are introduced to an experienced Invisalign practitioner and are able to refer appropriate cases to these orthodontists. In 2007, we expect that revenue generated by GPs will represent an increasingly larger percentage of our revenue, largely due to the fact that there are significantly more GPs than orthodontists. We believe that by focusing on increasing utilization rates among our existing GP customers, the overall market for Invisalign will increase, as patients that would not have otherwise sought orthodontic treatment are introduced to</w:t>
      </w:r>
    </w:p>
    <w:p>
      <w:pPr>
        <w:sectPr>
          <w:pgSz w:w="11900" w:h="16838" w:orient="portrait"/>
          <w:cols w:equalWidth="0" w:num="1">
            <w:col w:w="11420"/>
          </w:cols>
          <w:pgMar w:left="240" w:top="125" w:right="239" w:bottom="0" w:gutter="0" w:footer="0" w:header="0"/>
        </w:sectPr>
      </w:pPr>
    </w:p>
    <w:bookmarkStart w:id="5" w:name="page6"/>
    <w:bookmarkEnd w:id="5"/>
    <w:p>
      <w:pPr>
        <w:ind w:right="120"/>
        <w:spacing w:after="0" w:line="277" w:lineRule="auto"/>
        <w:rPr>
          <w:sz w:val="20"/>
          <w:szCs w:val="20"/>
          <w:color w:val="auto"/>
        </w:rPr>
      </w:pPr>
      <w:r>
        <w:rPr>
          <w:rFonts w:ascii="Arial" w:cs="Arial" w:eastAsia="Arial" w:hAnsi="Arial"/>
          <w:sz w:val="18"/>
          <w:szCs w:val="18"/>
          <w:color w:val="auto"/>
        </w:rPr>
        <w:t>Invisalign by their GPs. Information regarding risks related to our expectation that orthodontists and GPs will collaborate may be found in Part I, Item 1A of this Annual Report on Form 10-K under the heading “Risk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Leadership</w:t>
      </w:r>
    </w:p>
    <w:p>
      <w:pPr>
        <w:spacing w:after="0" w:line="117"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i w:val="1"/>
          <w:iCs w:val="1"/>
          <w:color w:val="auto"/>
        </w:rPr>
        <w:t xml:space="preserve">New products and enhancements to products. </w:t>
      </w:r>
      <w:r>
        <w:rPr>
          <w:rFonts w:ascii="Arial" w:cs="Arial" w:eastAsia="Arial" w:hAnsi="Arial"/>
          <w:sz w:val="16"/>
          <w:szCs w:val="16"/>
          <w:color w:val="auto"/>
        </w:rPr>
        <w:t>Our strategy for ensuring product leadership focuses on delivering new products and product features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enhancing the user experience. In 2005 we launched Invisalign Express, a lower-cost solution for less complex cases, allowing the dental professional to treat a broader range of patients. In the second half of 2006, we began a phased rollout of ClinAdvisor, a new suite of software tools designed to make Invisalign case selection and submission processes more efficient for doctors. During 2007, we expect to extend the product features and functionality of ClinAdvisor to an increasing number of practices. In addition, we plan to introduce a further series of software enhancements that will evolve Invisalign into distinct suites of software tools for the orthodontist and GP. Software enhancements for the orthodontist are intended to provide a more robust set of tools for greater predictability, wider applicability and more flexibility in the use of the Invisalign system. Software enhancements targeting the GP will focus on ease of diagnosis, guidance through the case set-up process and self-help tools designed to simplify treatment of cases of mild to moderate malocclusion. We continue to focus research and development efforts on next generation Aligner material and a compliance indicator,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which efforts we expect to extend at least through 2008. Next generation Aligner material is intended to consistently deliver force to the teeth over a longer period of time. The compliance indicator is intended to help the dental professional and the patient understand if the patient has worn their Aligner for enough time to effectively move their teeth. We believe continuing to introduce new products and product features as well as enhancing the user experience will keep us at the forefront of the market and increase demand for Invisalign.</w:t>
      </w:r>
    </w:p>
    <w:p>
      <w:pPr>
        <w:spacing w:after="0" w:line="79"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i w:val="1"/>
          <w:iCs w:val="1"/>
          <w:color w:val="auto"/>
        </w:rPr>
        <w:t xml:space="preserve">Extend and defend technology leadership. </w:t>
      </w:r>
      <w:r>
        <w:rPr>
          <w:rFonts w:ascii="Arial" w:cs="Arial" w:eastAsia="Arial" w:hAnsi="Arial"/>
          <w:sz w:val="16"/>
          <w:szCs w:val="16"/>
          <w:color w:val="auto"/>
        </w:rPr>
        <w:t>Invisalign represents a significant technological advancement in orthodontics. Our issued U.S. patents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broadly cover the Invisalign system, including digital modeling and manipulation of scanned patient data, treatment planning, and fabrication of dental appliances, among others. We continue to pursue further intellectual property protection through U.S. and foreign patent applications and non-disclosure agreements. We also seek to protect our software, documentation and other written materials under trade secret and copyright laws. Nonetheless, our intellectual property rights may not be successfully asserted in the future or may be invalidated, circumvented or challenged. In addition, the laws of various countries where the Invisalign system is distributed do not protect our intellectual property rights to the same extent as U.S. laws. Information regarding risks associated with failure to protect our proprietary technology and our intellectual property rights may be found in Part I, Item 1A of this Annual Report on Form 10-K under the heading “Risk Factors.” </w:t>
      </w:r>
      <w:r>
        <w:rPr>
          <w:rFonts w:ascii="Arial" w:cs="Arial" w:eastAsia="Arial" w:hAnsi="Arial"/>
          <w:sz w:val="16"/>
          <w:szCs w:val="16"/>
          <w:i w:val="1"/>
          <w:iCs w:val="1"/>
          <w:color w:val="auto"/>
        </w:rPr>
        <w:t>See also Part I, Item 3 of this Annual Report on Form 10-K under the heading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Effectiveness</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i w:val="1"/>
          <w:iCs w:val="1"/>
          <w:color w:val="auto"/>
        </w:rPr>
        <w:t>Expand and enhance manufacturing capability</w:t>
      </w:r>
      <w:r>
        <w:rPr>
          <w:rFonts w:ascii="Arial" w:cs="Arial" w:eastAsia="Arial" w:hAnsi="Arial"/>
          <w:sz w:val="16"/>
          <w:szCs w:val="16"/>
          <w:color w:val="auto"/>
        </w:rPr>
        <w:t>. Our manufacturing operations are designed to produce large numbers of custom Aligners at a high level</w:t>
      </w:r>
      <w:r>
        <w:rPr>
          <w:rFonts w:ascii="Arial" w:cs="Arial" w:eastAsia="Arial" w:hAnsi="Arial"/>
          <w:sz w:val="16"/>
          <w:szCs w:val="16"/>
          <w:i w:val="1"/>
          <w:iCs w:val="1"/>
          <w:color w:val="auto"/>
        </w:rPr>
        <w:t xml:space="preserve"> </w:t>
      </w:r>
      <w:r>
        <w:rPr>
          <w:rFonts w:ascii="Arial" w:cs="Arial" w:eastAsia="Arial" w:hAnsi="Arial"/>
          <w:sz w:val="16"/>
          <w:szCs w:val="16"/>
          <w:color w:val="auto"/>
        </w:rPr>
        <w:t>of quality. To improve cost efficiency, we conduct labor intensive processes in relatively low-wage countries. We believe that our existing facilities are adequate to meet current requirements and that additional or substitute space will be available as needed to accommodate any expansion of operations. Our proprietary software underlies our manufacturing process. By continually developing this software and other manufacturing processes, we plan to increase the level of production automation. Increased automation will enhance production capacity and reduce both unit costs and production times.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Invisalign Treatment Process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Invisalign treatment process comprises the following five stages:</w:t>
      </w:r>
    </w:p>
    <w:p>
      <w:pPr>
        <w:spacing w:after="0" w:line="11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i w:val="1"/>
          <w:iCs w:val="1"/>
          <w:color w:val="auto"/>
        </w:rPr>
        <w:t xml:space="preserve">Orthodontic diagnosis and transmission of treatment data to us. </w:t>
      </w:r>
      <w:r>
        <w:rPr>
          <w:rFonts w:ascii="Arial" w:cs="Arial" w:eastAsia="Arial" w:hAnsi="Arial"/>
          <w:sz w:val="16"/>
          <w:szCs w:val="16"/>
          <w:color w:val="auto"/>
        </w:rPr>
        <w:t>In an initial patient visit, the dental professional determines whether Invisalign is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treatment. The dental professional then prepares a treatment data package which consists of a polyvinyl-siloxane, or PVS, impression of the relevant dental arches, x-rays of the patient’s dentition, photographs of the patient, a bite impression depicting the relationship between the patient’s upper and lower dental arches and an Invisalign treatment planning form, or prescription. The impression is a critical component of Invisalign as it depicts the three-dimensional geometry of the patient’s teeth and hence forms the basis for our computer models. An impression requires the patient to bite into a viscous material. This material hardens, capturing the shape of the patient’s teeth. The prescription is also a critical component of Invisalign, describing the desired positions and movement of the patient’s teeth. The dental professional sends the treatment data to our Santa Clara, California facility.</w:t>
      </w:r>
    </w:p>
    <w:p>
      <w:pPr>
        <w:spacing w:after="0" w:line="59"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i w:val="1"/>
          <w:iCs w:val="1"/>
          <w:color w:val="auto"/>
        </w:rPr>
        <w:t xml:space="preserve">Preparation of three-dimensional computer models of the patient’s initial malocclusion. </w:t>
      </w:r>
      <w:r>
        <w:rPr>
          <w:rFonts w:ascii="Arial" w:cs="Arial" w:eastAsia="Arial" w:hAnsi="Arial"/>
          <w:sz w:val="18"/>
          <w:szCs w:val="18"/>
          <w:color w:val="auto"/>
        </w:rPr>
        <w:t>Upon receipt, we use the treatment data to construct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models of the patient’s dentition. Using CT scanning, we scan the PVS impression to develop a digital, three-dimensional computer model of the patient’s current dentition. We then transmit this initial computer model together with the dental professional’s prescription and supplemental materials electronically to our facilities in Costa Rica.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i w:val="1"/>
          <w:iCs w:val="1"/>
          <w:color w:val="auto"/>
        </w:rPr>
        <w:t xml:space="preserve">Preparation of computer-simulated treatment and viewing of treatment using ClinCheck. </w:t>
      </w:r>
      <w:r>
        <w:rPr>
          <w:rFonts w:ascii="Arial" w:cs="Arial" w:eastAsia="Arial" w:hAnsi="Arial"/>
          <w:sz w:val="18"/>
          <w:szCs w:val="18"/>
          <w:color w:val="auto"/>
        </w:rPr>
        <w:t>In Costa Rica we transform this initial digital model into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customized, three-dimensional treatment plan that simulates appropriate tooth movement in a series of two-week increments. This simulation is then reviewed for adherence to prescribed clinical, treatment and quality standards. Upon passing review, the simulation is then made available to the prescribing dental professional via Virtual Invisalign Practice (VIP), our proprietary customer interfacing software, which is available on our websites located at </w:t>
      </w:r>
      <w:r>
        <w:rPr>
          <w:rFonts w:ascii="Arial" w:cs="Arial" w:eastAsia="Arial" w:hAnsi="Arial"/>
          <w:sz w:val="18"/>
          <w:szCs w:val="18"/>
          <w:i w:val="1"/>
          <w:iCs w:val="1"/>
          <w:color w:val="auto"/>
        </w:rPr>
        <w:t xml:space="preserve">www.invisalign.com </w:t>
      </w:r>
      <w:r>
        <w:rPr>
          <w:rFonts w:ascii="Arial" w:cs="Arial" w:eastAsia="Arial" w:hAnsi="Arial"/>
          <w:sz w:val="18"/>
          <w:szCs w:val="18"/>
          <w:color w:val="auto"/>
        </w:rPr>
        <w:t>and</w:t>
      </w:r>
      <w:r>
        <w:rPr>
          <w:rFonts w:ascii="Arial" w:cs="Arial" w:eastAsia="Arial" w:hAnsi="Arial"/>
          <w:sz w:val="18"/>
          <w:szCs w:val="18"/>
          <w:i w:val="1"/>
          <w:iCs w:val="1"/>
          <w:color w:val="auto"/>
        </w:rPr>
        <w:t xml:space="preserve"> www.aligntech.com</w:t>
      </w:r>
      <w:r>
        <w:rPr>
          <w:rFonts w:ascii="Arial" w:cs="Arial" w:eastAsia="Arial" w:hAnsi="Arial"/>
          <w:sz w:val="18"/>
          <w:szCs w:val="18"/>
          <w:color w:val="auto"/>
        </w:rPr>
        <w:t>. The dental professional then reviews the ClinCheck simulation and determines whether to ask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By reviewing and amending the treatment simulation, the dental professional retains control over the treatment plan and, thus, participates in the customized design of the Aligners. At this point, the dental professional may also invite the patient to review ClinCheck, allowing the patient to see the projected course of treatment. The dental professional then approves the proposed treatment and, in doing so, engages us for the manufacture of corresponding Aligners.</w:t>
      </w:r>
    </w:p>
    <w:p>
      <w:pPr>
        <w:spacing w:after="0" w:line="89"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i w:val="1"/>
          <w:iCs w:val="1"/>
          <w:color w:val="auto"/>
        </w:rPr>
        <w:t xml:space="preserve">Construction of molds corresponding to each step of treatment. </w:t>
      </w:r>
      <w:r>
        <w:rPr>
          <w:rFonts w:ascii="Arial" w:cs="Arial" w:eastAsia="Arial" w:hAnsi="Arial"/>
          <w:sz w:val="18"/>
          <w:szCs w:val="18"/>
          <w:color w:val="auto"/>
        </w:rPr>
        <w:t>We use the approved ClinCheck simulation to construct a series of molds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teeth. Each mold is a replica of the patient’s teeth at each two-week stage of the simulated course of treatment. These molds are fabricated by IMS, a third party shelter services provider based in Juarez, Mexico.</w:t>
      </w:r>
    </w:p>
    <w:p>
      <w:pPr>
        <w:sectPr>
          <w:pgSz w:w="11900" w:h="16838" w:orient="portrait"/>
          <w:cols w:equalWidth="0" w:num="1">
            <w:col w:w="11400"/>
          </w:cols>
          <w:pgMar w:left="240" w:top="125" w:right="259" w:bottom="42" w:gutter="0" w:footer="0" w:header="0"/>
        </w:sectPr>
      </w:pPr>
    </w:p>
    <w:bookmarkStart w:id="6" w:name="page7"/>
    <w:bookmarkEnd w:id="6"/>
    <w:p>
      <w:pPr>
        <w:ind w:right="20" w:firstLine="360"/>
        <w:spacing w:after="0" w:line="291" w:lineRule="auto"/>
        <w:rPr>
          <w:sz w:val="20"/>
          <w:szCs w:val="20"/>
          <w:color w:val="auto"/>
        </w:rPr>
      </w:pPr>
      <w:r>
        <w:rPr>
          <w:rFonts w:ascii="Arial" w:cs="Arial" w:eastAsia="Arial" w:hAnsi="Arial"/>
          <w:sz w:val="16"/>
          <w:szCs w:val="16"/>
          <w:i w:val="1"/>
          <w:iCs w:val="1"/>
          <w:color w:val="auto"/>
        </w:rPr>
        <w:t xml:space="preserve">Manufacture of Aligners and shipment to the dental professional. </w:t>
      </w:r>
      <w:r>
        <w:rPr>
          <w:rFonts w:ascii="Arial" w:cs="Arial" w:eastAsia="Arial" w:hAnsi="Arial"/>
          <w:sz w:val="16"/>
          <w:szCs w:val="16"/>
          <w:color w:val="auto"/>
        </w:rPr>
        <w:t>From these molds, IMS fabricates Aligners by pressure-forming polymeric sheets</w:t>
      </w:r>
      <w:r>
        <w:rPr>
          <w:rFonts w:ascii="Arial" w:cs="Arial" w:eastAsia="Arial" w:hAnsi="Arial"/>
          <w:sz w:val="16"/>
          <w:szCs w:val="16"/>
          <w:i w:val="1"/>
          <w:iCs w:val="1"/>
          <w:color w:val="auto"/>
        </w:rPr>
        <w:t xml:space="preserve"> </w:t>
      </w:r>
      <w:r>
        <w:rPr>
          <w:rFonts w:ascii="Arial" w:cs="Arial" w:eastAsia="Arial" w:hAnsi="Arial"/>
          <w:sz w:val="16"/>
          <w:szCs w:val="16"/>
          <w:color w:val="auto"/>
        </w:rPr>
        <w:t>over each mold. The Aligners are then trimmed, polished, cleaned and packaged. Following final inspection, the Aligners are shipped directly to the prescribing dental professional. We ship all of the Aligners in a single batch. In certain cases, dental professionals may use Invisalign in conjunction with tooth-colored attachments bonded to the patient’s teeth. These attachments are used to increase the force applied to a tooth or teeth in circumstances where the Aligners alone may have difficulty in effecting the desired movement. In certain cases, we provide an aligner-like template to the dental professionals to aid the placement of bonding attachments to the patient’s teeth. Also, in cases where interproximal reduction, or IPR, is requested by the dental professional, we provide an IPR treatment form, quantifying the amount of space to be created through enamel reduction, location, and timing of IPR.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right="540" w:firstLine="360"/>
        <w:spacing w:after="0" w:line="264" w:lineRule="auto"/>
        <w:rPr>
          <w:sz w:val="20"/>
          <w:szCs w:val="20"/>
          <w:color w:val="auto"/>
        </w:rPr>
      </w:pPr>
      <w:r>
        <w:rPr>
          <w:rFonts w:ascii="Arial" w:cs="Arial" w:eastAsia="Arial" w:hAnsi="Arial"/>
          <w:sz w:val="18"/>
          <w:szCs w:val="18"/>
          <w:color w:val="auto"/>
        </w:rPr>
        <w:t>To produce our highly customized, highly precise, medical quality products in volume, we have developed a number of proprietary processes and technologies. These technologies include complex software solutions, computed tomography, known as CT scanning, stereolithography and automated Aligner fabrication.</w:t>
      </w:r>
    </w:p>
    <w:p>
      <w:pPr>
        <w:spacing w:after="0" w:line="73"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We rely on two vendors who are each the sole source of the polymer and resin used in our manufacturing process. In the event that either of these vendors become unable for any reason to supply us with their respective products, we would experience a manufacturing disruption while we qualify and obtain an alternate source.</w:t>
      </w:r>
    </w:p>
    <w:p>
      <w:pPr>
        <w:spacing w:after="0" w:line="73"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 xml:space="preserve">As of December 31, 2006, our manufacturing and operations staff in the U.S. and Costa Rica consisted of 672 people. Manufacturing is coordinated in Santa Clara, California. Digital dental modeling is processed in our 63,000 square foot facility in San Jose, Costa Rica. The operations team in Costa Rica creates ClinCheck treatments using simulation software. In anticipation of increased capacity demands primarily resulting from the Patients First Program, we hired approximately 100 new dental technicians in Costa Rica in the fourth quarter of 2006. </w:t>
      </w:r>
      <w:r>
        <w:rPr>
          <w:rFonts w:ascii="Arial" w:cs="Arial" w:eastAsia="Arial" w:hAnsi="Arial"/>
          <w:sz w:val="16"/>
          <w:szCs w:val="16"/>
          <w:i w:val="1"/>
          <w:iCs w:val="1"/>
          <w:color w:val="auto"/>
        </w:rPr>
        <w:t>For a more complete discussion of the Patients First Program,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please see Part I, Item 7 of this Annual Report on Form 10-K under the heading “Management’s Discussion and Analysis—Overview”. </w:t>
      </w:r>
      <w:r>
        <w:rPr>
          <w:rFonts w:ascii="Arial" w:cs="Arial" w:eastAsia="Arial" w:hAnsi="Arial"/>
          <w:sz w:val="16"/>
          <w:szCs w:val="16"/>
          <w:color w:val="auto"/>
        </w:rPr>
        <w:t>In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2006, in an effort to optimize operations, improve efficiency and reduce operating costs, we relocated our streolithography (SLA) mold fabrication operations from our Santa Clara, California facility to IMS, a third party shelter services provider based in Juarez, Mexico. We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also use IMS for the fabrication and packaging of Aligners. Information regarding risks associated with our manufacturing process and foreign operations may be found in Part I, Item 1A of this Annual Report on Form 10-K under the heading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Throughput Management</w:t>
      </w:r>
    </w:p>
    <w:p>
      <w:pPr>
        <w:spacing w:after="0" w:line="12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Because we manufacture each case on a build-to-order basis, we must conservatively build manufacturing capacity for anticipated demand. To increase throughput, we must improve the efficiency and increase the scale of our manufacturing processes.</w:t>
      </w:r>
    </w:p>
    <w:p>
      <w:pPr>
        <w:spacing w:after="0" w:line="62"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In order to increase the efficiency of our manufacturing processes, we focus our efforts on software development and the improvement of rate-limiting processes, or bottlenecks. We continue to upgrade our proprietary, three-dimensional treatment-planning software to enhance computer analysis of treatment data and to reduce time spent on manual and judgmental tasks for each case, thereby increasing the efficiency of our technicians in Costa Rica. During the first half of 2007, as a result of the increase in demand for Invisalign case volume primarily due to of the Patients First Program (discussed in Part I, Item 7 “Managements Discussion and Analysis—Overview”), we will monitor our capacity in Costa Rica to ensure a sufficient number of technicians have been hired. We are also continuing the development of automated systems for the fabrication and packaging of Aligners manufactured in Juarez, Mexico. In order to scale our manufacturing capacity, we expect that we will continue to invest in capital equipment.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Align’s quality system is in compliance with Food &amp; Drug Administration’s Medical Device regulations, 21CFR Part 820, and Health Canada’s Medical Device Regulations. We are certified to EN ISO 13485:2003, internationally recognized standards for Medical Device manufacturing and of the Council of Canada. Align has a formal, documented quality system by which quality objectives are defined, understood and achieved. Systems, processes and procedures are implemented to ensure high levels of product and service quality. We monitor the effectiveness of the quality system based on internal data and direct customer feedback and strive to continually improve our systems and processes, taking corrective action, as needed.</w:t>
      </w:r>
    </w:p>
    <w:p>
      <w:pPr>
        <w:spacing w:after="0" w:line="64"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Since we custom manufacture Aligners on a build-to-order basis, we do not offer refunds on our products. Because each ClinCheck and each Aligner is unique, we inspect 100% of the product at various points in the manufacturing process, to ensure that the product meets our customers’ expectations. Aligners are subject to the Invisalign product warranty, which covers defects in materials and workmanship. Our materials and workmanship warranty is in force until the Invisalign case is completed. In the event the Aligners fall within the scope of the Invisalign product warranty, we will replace the Aligners at our expense. Our warranty is contingent upon proper use of the Aligners for the purposes for which they are intended. If a patient chooses not to wear the Aligners, and as a result, requests additional Invisalign treatment, the dental professional pays the additional expense of the replacement Aligners.</w:t>
      </w:r>
    </w:p>
    <w:p>
      <w:pPr>
        <w:spacing w:after="0" w:line="57"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The Invisalign product warranty does not provide any assurances regarding the outcome of treatment using Invisalign. Actual treatment results may deviate significantly from the approved ClinCheck treatment plan. Deviations not covered under warranty have typically been the result of unpredictable biological factors, such as variations in bone density or tooth topography and abnormal jaw growth. Warranty treatment requires that the dental professional submit new impressions of the patient’s dentition to us. We use the impressions to create a new ClinCheck treatment plan for the dental professional to approve, from which a successive series of Aligners will be produced that will allow the patient to finish treatment.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We market Invisalign by communicating Invisalign’s benefits directly to dental professionals through our training, certification programs and direct mail campaigns and to consumers with a nationwide advertising campaign. Based on our experience with advertising and commercial sales, we believe that making consumers aware of Invisalign as a new treatment alternative generates significant demand for Invisalign. In order to serve anticipated demand, we are training a broad base of dental professionals.</w:t>
      </w:r>
    </w:p>
    <w:p>
      <w:pPr>
        <w:sectPr>
          <w:pgSz w:w="11900" w:h="16838" w:orient="portrait"/>
          <w:cols w:equalWidth="0" w:num="1">
            <w:col w:w="11420"/>
          </w:cols>
          <w:pgMar w:left="240" w:top="125" w:right="239" w:bottom="0" w:gutter="0" w:footer="0" w:header="0"/>
        </w:sectPr>
      </w:pPr>
    </w:p>
    <w:bookmarkStart w:id="7" w:name="page8"/>
    <w:bookmarkEnd w:id="7"/>
    <w:p>
      <w:pPr>
        <w:ind w:left="360"/>
        <w:spacing w:after="0"/>
        <w:rPr>
          <w:sz w:val="20"/>
          <w:szCs w:val="20"/>
          <w:color w:val="auto"/>
        </w:rPr>
      </w:pPr>
      <w:r>
        <w:rPr>
          <w:rFonts w:ascii="Arial" w:cs="Arial" w:eastAsia="Arial" w:hAnsi="Arial"/>
          <w:sz w:val="18"/>
          <w:szCs w:val="18"/>
          <w:i w:val="1"/>
          <w:iCs w:val="1"/>
          <w:color w:val="auto"/>
        </w:rPr>
        <w:t>Professional Marketing</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sales and support staff has been engaged in marketing Invisalign to orthodontists since July 1999. In 2001, we began marketing Invisalign to general practitioner dentists in our domestic market. As of December 31, 2006 our North America sales organization consisted of 130 people of which 109 were direct sales representatives and 21 were sales administration and management. Internationally, we have approximately 40 people engaged in sales and sales support as December 31, 2006. We provide training, certification, marketing and clinical support to orthodontists and general practitioner dentists in the U.S. and Canada, which we consider our domestic market, and internationally.</w:t>
      </w:r>
    </w:p>
    <w:p>
      <w:pPr>
        <w:spacing w:after="0" w:line="80"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As of December 31, 2006, we had trained approximately 40,800 dental professionals worldwide to use Invisalign. Of those trained dental professionals, approximately 73% are dental professionals in our domestic market (United States and Canada). Within our domestic market, we have trained approximately 8,000 orthodontists and approximately 22,000 active general practitioner dentists.</w:t>
      </w:r>
    </w:p>
    <w:p>
      <w:pPr>
        <w:spacing w:after="0" w:line="73"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Invisalign relies on the same orthodontic principles that apply to traditional treatment. Our sales and orthodontic teams conduct training primarily in a workshop format. The key topics covered in training include Invisalign applicability, instructions on filling out the Invisalign treatment form, clinical tips and techniques, guidance on pricing and instructions on interacting with our ClinCheck software and the many other features of our website.</w:t>
      </w:r>
    </w:p>
    <w:p>
      <w:pPr>
        <w:spacing w:after="0" w:line="57"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After training, sales representatives follow up with the dental professional to ensure that their staff is prepared to handle Invisalign cases. Such follow up may include assisting the dental professional in taking dental impressions, establishing an Internet connection and familiarizing them with our website. Sales representatives may also provide practice-building assistance, including helping the dental professional to market Invisalign to prospective patients through direct mail or other forms of media. Many dental professionals have commenced promotional activity in their local region with our assistance.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Consumer Marketing</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experience indicates that prospective patients seek information from six primary sources:</w:t>
      </w:r>
    </w:p>
    <w:p>
      <w:pPr>
        <w:spacing w:after="0" w:line="117" w:lineRule="exact"/>
        <w:rPr>
          <w:sz w:val="20"/>
          <w:szCs w:val="20"/>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orthodontist;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general practice dentist;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marketing and advertising;</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website, which can be accessed at either </w:t>
      </w:r>
      <w:r>
        <w:rPr>
          <w:rFonts w:ascii="Arial" w:cs="Arial" w:eastAsia="Arial" w:hAnsi="Arial"/>
          <w:sz w:val="18"/>
          <w:szCs w:val="18"/>
          <w:i w:val="1"/>
          <w:iCs w:val="1"/>
          <w:color w:val="auto"/>
        </w:rPr>
        <w:t>www.invisalign.com</w:t>
      </w:r>
      <w:r>
        <w:rPr>
          <w:rFonts w:ascii="Arial" w:cs="Arial" w:eastAsia="Arial" w:hAnsi="Arial"/>
          <w:sz w:val="18"/>
          <w:szCs w:val="18"/>
          <w:color w:val="auto"/>
        </w:rPr>
        <w:t xml:space="preserve"> or </w:t>
      </w:r>
      <w:r>
        <w:rPr>
          <w:rFonts w:ascii="Arial" w:cs="Arial" w:eastAsia="Arial" w:hAnsi="Arial"/>
          <w:sz w:val="18"/>
          <w:szCs w:val="18"/>
          <w:i w:val="1"/>
          <w:iCs w:val="1"/>
          <w:color w:val="auto"/>
        </w:rPr>
        <w:t>www.aligntech.com;</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direct-to-consumer mail advertising and public relations efforts;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Invisalign patients.</w:t>
      </w:r>
    </w:p>
    <w:p>
      <w:pPr>
        <w:spacing w:after="0" w:line="117"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In 2007, we expect to increase the overall marketing spend in the United States with a focus on programs designed to raise the profile of Invisalign and drive more consumers to our most experienced doctors. We believe that this increased consumer awareness of Invisalign will increase demand for our product.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Our research and development effort is focused on extending the range of dental applicability of Invisalign, enhancing the software used in the manufacturing process and enhancing our Invisalign system product lines. Our research and development expenses were $18.5 million for fiscal 2006, $18.6 million for fiscal 2005 and $15.8 million for fiscal 2004.</w:t>
      </w:r>
    </w:p>
    <w:p>
      <w:pPr>
        <w:spacing w:after="0" w:line="73"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In an effort to demonstrate Invisalign’s broad treatment capabilities, various clinical case studies and articles have been published that highlight the applicability of Invisalign to malocclusion cases, including those of severe complexity. We are also undertaking post-marketing studies and making additional technological improvements to the product and manufacturing process. We have recently started a phased roll out of ClinAdvisor, a new suite of software tools, designed to make Invisalign case selection and submission processes more efficient and predictable for our doctors. In addition, we plan to introduce a further series of software enhancements that will evolve Invisalign into distinct suites of software tools for the orthodontist and GP. Software enhancements for the orthodontist are intended to provide a more robust set of tools for greater predictability, wider applicability and more flexibility in the use of the Invisalign system. Software enhancements targeting the GP will focus on ease of diagnosis, guidance through the case set-up process and self-help tools designed to simplify treatment of cases of mild to moderate malocclusion. We continue to focus research and development efforts on next generation Aligner material and a compliance indicator, which efforts we expect to extend at least through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40" w:firstLine="360"/>
        <w:spacing w:after="0" w:line="286" w:lineRule="auto"/>
        <w:rPr>
          <w:sz w:val="20"/>
          <w:szCs w:val="20"/>
          <w:color w:val="auto"/>
        </w:rPr>
      </w:pPr>
      <w:r>
        <w:rPr>
          <w:rFonts w:ascii="Arial" w:cs="Arial" w:eastAsia="Arial" w:hAnsi="Arial"/>
          <w:sz w:val="17"/>
          <w:szCs w:val="17"/>
          <w:color w:val="auto"/>
        </w:rPr>
        <w:t xml:space="preserve">We believe our intellectual property position represents a substantial business advantage. As of December 31, 2006, we had 85 issued U.S. patents, 120 pending U.S. patent applications, and numerous foreign issued patents, as well as pending foreign patent applications. </w:t>
      </w:r>
      <w:r>
        <w:rPr>
          <w:rFonts w:ascii="Arial" w:cs="Arial" w:eastAsia="Arial" w:hAnsi="Arial"/>
          <w:sz w:val="17"/>
          <w:szCs w:val="17"/>
          <w:i w:val="1"/>
          <w:iCs w:val="1"/>
          <w:color w:val="auto"/>
        </w:rPr>
        <w:t>See Part I, Item 3 Legal Proceedings</w:t>
      </w:r>
      <w:r>
        <w:rPr>
          <w:rFonts w:ascii="Arial" w:cs="Arial" w:eastAsia="Arial" w:hAnsi="Arial"/>
          <w:sz w:val="17"/>
          <w:szCs w:val="17"/>
          <w:color w:val="auto"/>
        </w:rPr>
        <w:t xml:space="preserve"> </w:t>
      </w:r>
      <w:r>
        <w:rPr>
          <w:rFonts w:ascii="Arial" w:cs="Arial" w:eastAsia="Arial" w:hAnsi="Arial"/>
          <w:sz w:val="17"/>
          <w:szCs w:val="17"/>
          <w:i w:val="1"/>
          <w:iCs w:val="1"/>
          <w:color w:val="auto"/>
        </w:rPr>
        <w:t>for a discussion on Reexamination Proceedings pending with the United States Patent and Trademark Office.</w:t>
      </w:r>
    </w:p>
    <w:p>
      <w:pPr>
        <w:spacing w:after="0" w:line="57"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We continue to pursue further intellectual property protection through U.S. and foreign patent applications and non-disclosure agreements. We also seek to protect our software, documentation and other written materials under trade secret and copyright laws. We cannot be certain that patents will be issued as a result of any patent application or that patents that have been issued to us or that may be issued in the future will be found to be valid and enforceable and sufficient to protect our technology or products. Our intellectual property rights may not be successfully asserted in the future or may be invalidated, circumvented or challenged. In addition, the laws of various foreign countries where Invisalign is distributed do not protect our intellectual property rights to the same extent as U.S. laws. Our inability to protect our proprietary information could harm our business. Information regarding risks associated with failure to protect our proprietary technology and our intellectual property rights may be found in Part I, Item IA of this Annual Report on Form 10-K under the heading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 xml:space="preserve">We compete for the attention of dental professionals with manufacturers of traditional orthodontic appliances (or wires and brackets), which include 3M Company, Sybron Dental Specialties and Dentsply International, Inc. We also compete directly with established companies that manufacture and distribute products that are similar in use to Invisalign, including the product called Red, White &amp; Blue manufactured and distributed by Ormco Orthodontics, a division of Sybron Dental Specialties. In May 2006, Danaher Corporation purchased Sybron Dental Specialties. </w:t>
      </w:r>
      <w:r>
        <w:rPr>
          <w:rFonts w:ascii="Arial" w:cs="Arial" w:eastAsia="Arial" w:hAnsi="Arial"/>
          <w:sz w:val="16"/>
          <w:szCs w:val="16"/>
          <w:i w:val="1"/>
          <w:iCs w:val="1"/>
          <w:color w:val="auto"/>
        </w:rPr>
        <w:t>See Part I, Item 3 “Legal Proceedings” for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summary of our litigation with Ormco. </w:t>
      </w:r>
      <w:r>
        <w:rPr>
          <w:rFonts w:ascii="Arial" w:cs="Arial" w:eastAsia="Arial" w:hAnsi="Arial"/>
          <w:sz w:val="16"/>
          <w:szCs w:val="16"/>
          <w:color w:val="auto"/>
        </w:rPr>
        <w:t>In May 2005, OrthoClear, Inc. announced the commercial launch of the OrthoClear system, a product that was</w:t>
      </w:r>
    </w:p>
    <w:p>
      <w:pPr>
        <w:sectPr>
          <w:pgSz w:w="11900" w:h="16838" w:orient="portrait"/>
          <w:cols w:equalWidth="0" w:num="1">
            <w:col w:w="11420"/>
          </w:cols>
          <w:pgMar w:left="240" w:top="125" w:right="239" w:bottom="0" w:gutter="0" w:footer="0" w:header="0"/>
        </w:sectPr>
      </w:pPr>
    </w:p>
    <w:bookmarkStart w:id="8" w:name="page9"/>
    <w:bookmarkEnd w:id="8"/>
    <w:p>
      <w:pPr>
        <w:spacing w:after="0" w:line="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intended to compete directly with our Invisalign system. On October 13, 2006, we entered into a formal agreement with OrthoClear, Inc., OrthoClear Holdings, Inc., and OrthoClear Pakistan Pvt. Ltd. (“OrthoClear”), together with certain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individuals associated with OrthoClear to end all pending litigation between the parties. In addition, OrthoClear agreed, among other things, to stop accepting new patient cases for treatment, consent to the entry of an exclusion order by the ITC prohibiting the importation of OrthoClear aligners into the United States, assign and transfer to Align all intellectual property rights with application to the correction of malocclusion and to discontinue all design, manufacture, marketing and sales of removable dental aligners worldwide. </w:t>
      </w:r>
      <w:r>
        <w:rPr>
          <w:rFonts w:ascii="Arial" w:cs="Arial" w:eastAsia="Arial" w:hAnsi="Arial"/>
          <w:sz w:val="18"/>
          <w:szCs w:val="18"/>
          <w:i w:val="1"/>
          <w:iCs w:val="1"/>
          <w:color w:val="auto"/>
        </w:rPr>
        <w:t>See Part I, Item 3 “Legal Proceedings” for a summary of our litigation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OrthoClear. </w:t>
      </w:r>
      <w:r>
        <w:rPr>
          <w:rFonts w:ascii="Arial" w:cs="Arial" w:eastAsia="Arial" w:hAnsi="Arial"/>
          <w:sz w:val="18"/>
          <w:szCs w:val="18"/>
          <w:color w:val="auto"/>
        </w:rPr>
        <w:t>In the future, we may face further competition from other early stage and more mature companies who enter our target markets to manufacture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distribute products that are similar in use to Invisalign. Information regarding risks associated with increased competition may be found in Part I, Item IA of this Annual Report on Form 10-K under the heading “Risk Factors.”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in addition to price, the principal competitive factors in the market for orthodontic appliances include the following:</w:t>
      </w:r>
    </w:p>
    <w:p>
      <w:pPr>
        <w:spacing w:after="0" w:line="117" w:lineRule="exact"/>
        <w:rPr>
          <w:sz w:val="20"/>
          <w:szCs w:val="20"/>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aesthetic appeal of the treatment method;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effectiveness of treatment;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comfort associated with the treatment method;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oral hygiene;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use;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dental professionals’ chair time.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Invisalign compares favorably with our competitors’ products with respect to each of these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i w:val="1"/>
          <w:iCs w:val="1"/>
          <w:color w:val="auto"/>
        </w:rPr>
        <w:t xml:space="preserve">FDA’s Quality System Regulation for Medical Devices. </w:t>
      </w:r>
      <w:r>
        <w:rPr>
          <w:rFonts w:ascii="Arial" w:cs="Arial" w:eastAsia="Arial" w:hAnsi="Arial"/>
          <w:sz w:val="16"/>
          <w:szCs w:val="16"/>
          <w:color w:val="auto"/>
        </w:rPr>
        <w:t>In 2006, we were informed by the Food and Drug Administration, or FDA, that our Invisalign</w:t>
      </w:r>
      <w:r>
        <w:rPr>
          <w:rFonts w:ascii="Arial" w:cs="Arial" w:eastAsia="Arial" w:hAnsi="Arial"/>
          <w:sz w:val="16"/>
          <w:szCs w:val="16"/>
          <w:i w:val="1"/>
          <w:iCs w:val="1"/>
          <w:color w:val="auto"/>
        </w:rPr>
        <w:t xml:space="preserve"> </w:t>
      </w:r>
      <w:r>
        <w:rPr>
          <w:rFonts w:ascii="Arial" w:cs="Arial" w:eastAsia="Arial" w:hAnsi="Arial"/>
          <w:sz w:val="16"/>
          <w:szCs w:val="16"/>
          <w:color w:val="auto"/>
        </w:rPr>
        <w:t>system had been reclassified as a Class II medical device. The Invisalign system was previously regulated as a Class I medical device and was exempted from requiring 510(k) pre-market notification prior to commercialization. In 1998, however, we had voluntarily filed with and subsequently received pre-market clearance from the FDA pursuant to the 510(k) pre-market notification procedure, allowing us to market the product in the U.S. Therefore, we currently possess the necessary 510(k) clearance from the FDA to continue to market our product under the Class II classification. Prior to the reclassification, our product development, manufacturing processes, packaging, labeling, handling, storage and distribution activities were subject to extensive oversight by the FDA. We believe our Invisalign system is in compliance in all material respects with applicable quality system regulations, record keeping and reporting requirements in the production and distribution of the Invisalign system. We do not anticipate any significant difficulty or material cost increases in complying with applicable performance standards as a result of the incremental regulatory requirements resulting from the Class II reclassification.</w:t>
      </w:r>
    </w:p>
    <w:p>
      <w:pPr>
        <w:spacing w:after="0" w:line="5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Our Aligners are manufactured by IMS, a third party shelter services provider based in Juarez, Mexico. IMS is registered with the FDA as a medical device manufacturer and is certified to ISO 9001:2000 requirements. We have also ensured that our quality system procedures and processes have been implemented at IMS to comply with the FDA’s Quality Systems standards. IMS has dedicated an area in its facilities and trained personnel in the manufacture and distribution of Invisalign. We and IMS are subject to routine inspections by the FDA and state agencies to determine compliance with Quality System requirements. We are registered with the State of California as a medical device manufacturer.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If the FDA determines that we or IMS failed to comply with the applicable FDA regulations, it can institute a wide variety of enforcement actions against us, ranging from a public Warning Letter to more severe sanctions, including but not limited to financial penalties, withdrawal of our right to market our products and criminal prosecution.</w:t>
      </w:r>
    </w:p>
    <w:p>
      <w:pPr>
        <w:spacing w:after="0" w:line="73"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i w:val="1"/>
          <w:iCs w:val="1"/>
          <w:color w:val="auto"/>
        </w:rPr>
        <w:t xml:space="preserve">Health Canada’s Medical Device Regulations. </w:t>
      </w:r>
      <w:r>
        <w:rPr>
          <w:rFonts w:ascii="Arial" w:cs="Arial" w:eastAsia="Arial" w:hAnsi="Arial"/>
          <w:sz w:val="16"/>
          <w:szCs w:val="16"/>
          <w:color w:val="auto"/>
        </w:rPr>
        <w:t>In Canada, we are required to comply with Health Canada’s Medical Device Regulations. Our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are registered with Health Canada. We believe we are in compliance with their regulations and have been granted clearance to market our products in Canada.</w:t>
      </w:r>
    </w:p>
    <w:p>
      <w:pPr>
        <w:spacing w:after="0" w:line="16"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i w:val="1"/>
          <w:iCs w:val="1"/>
          <w:color w:val="auto"/>
        </w:rPr>
        <w:t xml:space="preserve">European Union’s MDD Requirements &amp; ISO 13485. </w:t>
      </w:r>
      <w:r>
        <w:rPr>
          <w:rFonts w:ascii="Arial" w:cs="Arial" w:eastAsia="Arial" w:hAnsi="Arial"/>
          <w:sz w:val="18"/>
          <w:szCs w:val="18"/>
          <w:color w:val="auto"/>
        </w:rPr>
        <w:t>In Europe, Invisalign is regulated as a custom device and as such, we follow the requirements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Medical Device Directives. We are ISO 13485 certified, which facilitates commercialization of Invisalign outside the United States and especially in Europe.</w:t>
      </w:r>
    </w:p>
    <w:p>
      <w:pPr>
        <w:spacing w:after="0" w:line="73"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i w:val="1"/>
          <w:iCs w:val="1"/>
          <w:color w:val="auto"/>
        </w:rPr>
        <w:t xml:space="preserve">Health Insurance Portability and Accountability Act of 1996. </w:t>
      </w:r>
      <w:r>
        <w:rPr>
          <w:rFonts w:ascii="Arial" w:cs="Arial" w:eastAsia="Arial" w:hAnsi="Arial"/>
          <w:sz w:val="16"/>
          <w:szCs w:val="16"/>
          <w:color w:val="auto"/>
        </w:rPr>
        <w:t>Under the Health Insurance Portability and Accountability Act of 1996, or HIPAA,</w:t>
      </w:r>
      <w:r>
        <w:rPr>
          <w:rFonts w:ascii="Arial" w:cs="Arial" w:eastAsia="Arial" w:hAnsi="Arial"/>
          <w:sz w:val="16"/>
          <w:szCs w:val="16"/>
          <w:i w:val="1"/>
          <w:iCs w:val="1"/>
          <w:color w:val="auto"/>
        </w:rPr>
        <w:t xml:space="preserve"> </w:t>
      </w:r>
      <w:r>
        <w:rPr>
          <w:rFonts w:ascii="Arial" w:cs="Arial" w:eastAsia="Arial" w:hAnsi="Arial"/>
          <w:sz w:val="16"/>
          <w:szCs w:val="16"/>
          <w:color w:val="auto"/>
        </w:rPr>
        <w:t>Congress mandated a package of interlocking administrative simplification rules to establish standards and requirements for electronic transmission of certain health information. Confidentiality of patient records and the circumstances under which these records may be released are subject to substantial regulations under the HIPAA Standards for Privacy of Individually Identifiable Health Information, referred to as the Privacy Standard, and other state laws and regulations. The Privacy Standard governs both the disclosure and the use of confidential patient medical information. Although compliance is principally the responsibility of the hospital, physician or other healthcare provider, we are required to maintain the confidentiality of patient information when providing technical services and when handling patient information and records. We have designed our product and service offerings to be consistent with the requirements of the Privacy and Security standards under HIPAA and applicable corresponding state laws and regulations. Maintaining systems that are consistent with these laws and regulations is costly and could require complex changes in the way we do business or provide services to our patients. Additionally, our success may be dependent on the success of healthcare participants in dealing with HIPAA requirements.</w:t>
      </w:r>
    </w:p>
    <w:p>
      <w:pPr>
        <w:spacing w:after="0" w:line="6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i w:val="1"/>
          <w:iCs w:val="1"/>
          <w:color w:val="auto"/>
        </w:rPr>
        <w:t xml:space="preserve">Other Federal and State Laws. </w:t>
      </w:r>
      <w:r>
        <w:rPr>
          <w:rFonts w:ascii="Arial" w:cs="Arial" w:eastAsia="Arial" w:hAnsi="Arial"/>
          <w:sz w:val="16"/>
          <w:szCs w:val="16"/>
          <w:color w:val="auto"/>
        </w:rPr>
        <w:t>As a participant in the health care industry we are subject to extensive and frequently changing regulation under many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laws administered by governmental entities at the federal, state and local levels, some of which are, and others of which may be, applicable to our business. Furthermore, our health care service provider customers are also subject to a wide variety of laws and regulations that could affect the nature and scope of their relationships with us. Laws regulating medical device manufacturers and health care providers cover a broad array of subjects. For example, the</w:t>
      </w:r>
    </w:p>
    <w:p>
      <w:pPr>
        <w:sectPr>
          <w:pgSz w:w="11900" w:h="16891" w:orient="portrait"/>
          <w:cols w:equalWidth="0" w:num="1">
            <w:col w:w="11400"/>
          </w:cols>
          <w:pgMar w:left="240" w:top="125" w:right="259" w:bottom="0" w:gutter="0" w:footer="0" w:header="0"/>
        </w:sectPr>
      </w:pPr>
    </w:p>
    <w:bookmarkStart w:id="9" w:name="page10"/>
    <w:bookmarkEnd w:id="9"/>
    <w:p>
      <w:pPr>
        <w:ind w:right="20"/>
        <w:spacing w:after="0" w:line="270" w:lineRule="auto"/>
        <w:rPr>
          <w:sz w:val="20"/>
          <w:szCs w:val="20"/>
          <w:color w:val="auto"/>
        </w:rPr>
      </w:pPr>
      <w:r>
        <w:rPr>
          <w:rFonts w:ascii="Arial" w:cs="Arial" w:eastAsia="Arial" w:hAnsi="Arial"/>
          <w:sz w:val="17"/>
          <w:szCs w:val="17"/>
          <w:color w:val="auto"/>
        </w:rPr>
        <w:t>confidentiality of patient medical information and the circumstances under which such information may be used by us, released for inclusion in our databases, or released by us to third parties, are subject to substantial regulation by state governments. These state laws and regulations govern both the disclosure and the use of confidential patient medical information and are evolving rapidly. In addition, provisions under the federal anti-kickback statute prohibit, among other things, paying or offering to pay any remuneration in exchange for the referral of patients to a person participating in, or for the order, purchase or recommendation of items or services that are subject to reimbursement by, Medicare, Medicaid and other similar federal or state health care programs. Most states have also enacted illegal remuneration laws that are similar to the federal laws. These laws are applicable to our financial relationships with, and any marketing or other promotional activities involving, our dental professional customers. Finally, various states regulate the operation of an advertising and referral service for dentists, and may require registration of such services with a state agency as well as compliance with various requirements and restrictions on how they conduct business and structure their relationships with participating dentists. Violations of any of these laws or regulations could subject us to a variety of civil and criminal sanctions.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As of December 31, 2006, we had 1,253 employees, including 672 in manufacturing and operations, 309 in sales and marketing, 115 in research and development and 157 in general and administrative functions. We had 487 employees in the U.S., 620 employees in Costa Rica, 116 employees in Europe and 30 employees in other international regions.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regarding our executive officers as of March 12, 2007: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Age</w:t>
            </w:r>
          </w:p>
        </w:tc>
        <w:tc>
          <w:tcPr>
            <w:tcW w:w="6140" w:type="dxa"/>
            <w:vAlign w:val="bottom"/>
          </w:tcPr>
          <w:p>
            <w:pPr>
              <w:ind w:left="282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M. Prescott</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Borders>
              <w:top w:val="single" w:sz="8" w:color="CCEEFF"/>
            </w:tcBorders>
            <w:shd w:val="clear" w:color="auto" w:fill="CCEEFF"/>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Eldon M. Bullington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Hossein Arjomand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Research and Development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Sonia Clark</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Vice President, Human Resources</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 S. Ellis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North American Sales</w:t>
            </w: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Roger E. George</w:t>
            </w:r>
          </w:p>
        </w:tc>
        <w:tc>
          <w:tcPr>
            <w:tcW w:w="440" w:type="dxa"/>
            <w:vAlign w:val="bottom"/>
          </w:tcPr>
          <w:p>
            <w:pPr>
              <w:jc w:val="center"/>
              <w:spacing w:after="0" w:line="201" w:lineRule="exact"/>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rPr>
              <w:t>Vice President, Legal and Corporate Affairs</w:t>
            </w:r>
          </w:p>
        </w:tc>
      </w:tr>
      <w:tr>
        <w:trPr>
          <w:trHeight w:val="230"/>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 M. Hedge</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Operations</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Michael J. Henry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Vice President, Information Technology and Chief Information Officer</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 Laks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International</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Darrell Zoromski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Vice President, Global Marketing and Chief Marketing Officer</w:t>
            </w:r>
          </w:p>
        </w:tc>
      </w:tr>
    </w:tbl>
    <w:p>
      <w:pPr>
        <w:spacing w:after="0" w:line="241"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i w:val="1"/>
          <w:iCs w:val="1"/>
          <w:color w:val="auto"/>
        </w:rPr>
        <w:t xml:space="preserve">Thomas M. Prescott </w:t>
      </w:r>
      <w:r>
        <w:rPr>
          <w:rFonts w:ascii="Arial" w:cs="Arial" w:eastAsia="Arial" w:hAnsi="Arial"/>
          <w:sz w:val="17"/>
          <w:szCs w:val="17"/>
          <w:color w:val="auto"/>
        </w:rPr>
        <w:t>has served as our President and Chief Executive Officer and as a member of our Board of Directors since March 27, 2002.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joining us, Mr. Prescott was President and Chief Executive Officer of Cardiac Pathways, Inc., a publicly-traded medical device company, from May 1999 until its acquisition by Boston Scientific in August 2001. Mr. Prescott then worked as a consultant for Boston Scientific Corporation until January 2002. Prior to working at Cardiac Pathways, Mr. Prescott held various sales, general management and executive roles at Nellcor Puritan Bennett, Inc. from April 1994 to May 1999. Mr. Prescott serves as a director of Interventional Rhythm Management, Inc., a privately held company.</w:t>
      </w:r>
    </w:p>
    <w:p>
      <w:pPr>
        <w:spacing w:after="0" w:line="64"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i w:val="1"/>
          <w:iCs w:val="1"/>
          <w:color w:val="auto"/>
        </w:rPr>
        <w:t xml:space="preserve">Eldon M. Bullington </w:t>
      </w:r>
      <w:r>
        <w:rPr>
          <w:rFonts w:ascii="Arial" w:cs="Arial" w:eastAsia="Arial" w:hAnsi="Arial"/>
          <w:sz w:val="17"/>
          <w:szCs w:val="17"/>
          <w:color w:val="auto"/>
        </w:rPr>
        <w:t>has served as our Vice President of Finance and Chief Financial Officer since October 2002. Mr. Bullington was previously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Finance and Chief Financial Officer of Verplex Systems, Inc, an electronic design automation company, from January 2002 until October 2002. Prior to that, Mr. Bullington spent two years as the Vice President and Chief Financial Officer at Cardiac Pathways, Inc., until it was acquired by Boston Scientific in August 2001. Prior to Cardiac Pathways, Mr. Bullington was Vice President and Chief Financial Officer at Saraide, Inc. from September 1998 to March 1999. He also served in executive financial management roles at Verifone, Inc. and Radius, Inc.</w:t>
      </w:r>
    </w:p>
    <w:p>
      <w:pPr>
        <w:spacing w:after="0" w:line="64" w:lineRule="exact"/>
        <w:rPr>
          <w:sz w:val="20"/>
          <w:szCs w:val="20"/>
          <w:color w:val="auto"/>
        </w:rPr>
      </w:pPr>
    </w:p>
    <w:p>
      <w:pPr>
        <w:ind w:right="280" w:firstLine="360"/>
        <w:spacing w:after="0" w:line="257" w:lineRule="auto"/>
        <w:rPr>
          <w:sz w:val="20"/>
          <w:szCs w:val="20"/>
          <w:color w:val="auto"/>
        </w:rPr>
      </w:pPr>
      <w:r>
        <w:rPr>
          <w:rFonts w:ascii="Arial" w:cs="Arial" w:eastAsia="Arial" w:hAnsi="Arial"/>
          <w:sz w:val="18"/>
          <w:szCs w:val="18"/>
          <w:i w:val="1"/>
          <w:iCs w:val="1"/>
          <w:color w:val="auto"/>
        </w:rPr>
        <w:t xml:space="preserve">Hossein Arjomand </w:t>
      </w:r>
      <w:r>
        <w:rPr>
          <w:rFonts w:ascii="Arial" w:cs="Arial" w:eastAsia="Arial" w:hAnsi="Arial"/>
          <w:sz w:val="18"/>
          <w:szCs w:val="18"/>
          <w:color w:val="auto"/>
        </w:rPr>
        <w:t>has served as our Vice President, Research &amp; Development since November 2005. Prior to joining Align as our Senior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&amp; Development in October 2005, Mr. Arjomand served as Senior Director for the Wireless Networking Division of Symbol Technologies, a provider of mobility products and solutions, from April 2002 to October 2005. Prior to Symbol Technologies, Mr. Arjomand held senior R&amp;D and product engineering positions at Agilent Technologies, from March 1999 to March 2002. Mr. Arjomand also served for more than ten years in various positions in research and development at Hewlett Packard.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i w:val="1"/>
          <w:iCs w:val="1"/>
          <w:color w:val="auto"/>
        </w:rPr>
        <w:t xml:space="preserve">Sonia Clark </w:t>
      </w:r>
      <w:r>
        <w:rPr>
          <w:rFonts w:ascii="Arial" w:cs="Arial" w:eastAsia="Arial" w:hAnsi="Arial"/>
          <w:sz w:val="18"/>
          <w:szCs w:val="18"/>
          <w:color w:val="auto"/>
        </w:rPr>
        <w:t>has served as Vice President, Human Resources since September 2006. During 2006, Ms. Clark was with Avago Technologies, a recent</w:t>
      </w:r>
      <w:r>
        <w:rPr>
          <w:rFonts w:ascii="Arial" w:cs="Arial" w:eastAsia="Arial" w:hAnsi="Arial"/>
          <w:sz w:val="18"/>
          <w:szCs w:val="18"/>
          <w:i w:val="1"/>
          <w:iCs w:val="1"/>
          <w:color w:val="auto"/>
        </w:rPr>
        <w:t xml:space="preserve"> </w:t>
      </w:r>
      <w:r>
        <w:rPr>
          <w:rFonts w:ascii="Arial" w:cs="Arial" w:eastAsia="Arial" w:hAnsi="Arial"/>
          <w:sz w:val="18"/>
          <w:szCs w:val="18"/>
          <w:color w:val="auto"/>
        </w:rPr>
        <w:t>spin-off of the Semiconductor Products Group (SPG) of Agilent Technologies. Prior to Avago, Ms. Clark was at Agilent Technologies from October 2004 to December 2005 as its Chief Learning Officer-Networking Solutions. From July 2001 to August 2004, Ms. Clark served as Vice President, Human Resources at Cadence Design Systems, an electronic design automation company. Her experience also includes positions of increasing responsibilities in Human Resources at Black &amp; Decker, Colgate Palmolive and several startups.</w:t>
      </w:r>
    </w:p>
    <w:p>
      <w:pPr>
        <w:spacing w:after="0" w:line="80"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i w:val="1"/>
          <w:iCs w:val="1"/>
          <w:color w:val="auto"/>
        </w:rPr>
        <w:t xml:space="preserve">Dan S. Ellis </w:t>
      </w:r>
      <w:r>
        <w:rPr>
          <w:rFonts w:ascii="Arial" w:cs="Arial" w:eastAsia="Arial" w:hAnsi="Arial"/>
          <w:sz w:val="18"/>
          <w:szCs w:val="18"/>
          <w:color w:val="auto"/>
        </w:rPr>
        <w:t>has served as our Vice President, North American Sales since June 2005. Prior to joining us, Mr. Ellis was Vice President,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privately-held BARRx Medical, a medical device company, from September 2004 to June 2005. Mr. Ellis spent from June 1999 to May 2004, at Fusion Medical Technologies, a division of Baxter Healthcare, most recently as Vice President, BioSurgery US. From January 1998 to June 1999, Mr. Ellis served as Vice President, Sales &amp; Marketing for Cardiac Pathways, Inc. Earlier in his career, Mr. Ellis held national sales positions of increasing scope and responsibility at Fusion Medical Technologies and Eli Lilly MDD/Guidant Corporation.</w:t>
      </w:r>
    </w:p>
    <w:p>
      <w:pPr>
        <w:spacing w:after="0" w:line="80"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i w:val="1"/>
          <w:iCs w:val="1"/>
          <w:color w:val="auto"/>
        </w:rPr>
        <w:t xml:space="preserve">Roger E. George </w:t>
      </w:r>
      <w:r>
        <w:rPr>
          <w:rFonts w:ascii="Arial" w:cs="Arial" w:eastAsia="Arial" w:hAnsi="Arial"/>
          <w:sz w:val="18"/>
          <w:szCs w:val="18"/>
          <w:color w:val="auto"/>
        </w:rPr>
        <w:t>has served as our Vice President, Legal and Corporate Affairs, General Counsel and Corporate Secretary since July 2002.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us, Mr. George was the Chief Financial Officer, Vice President of Finance and Legal Affairs and General Counsel of SkyStream Networks, a privately held broadband and broadcast network equipment company. Prior to SkyStream, Mr. George was a partner at Wilson Sonsini Goodrich &amp; Rosati, P.C. in Palo Alto, California.</w:t>
      </w:r>
    </w:p>
    <w:p>
      <w:pPr>
        <w:sectPr>
          <w:pgSz w:w="11900" w:h="16838" w:orient="portrait"/>
          <w:cols w:equalWidth="0" w:num="1">
            <w:col w:w="11420"/>
          </w:cols>
          <w:pgMar w:left="240" w:top="125" w:right="239" w:bottom="0" w:gutter="0" w:footer="0" w:header="0"/>
        </w:sectPr>
      </w:pPr>
    </w:p>
    <w:bookmarkStart w:id="10" w:name="page11"/>
    <w:bookmarkEnd w:id="10"/>
    <w:p>
      <w:pPr>
        <w:ind w:right="120" w:firstLine="360"/>
        <w:spacing w:after="0" w:line="259" w:lineRule="auto"/>
        <w:rPr>
          <w:sz w:val="20"/>
          <w:szCs w:val="20"/>
          <w:color w:val="auto"/>
        </w:rPr>
      </w:pPr>
      <w:r>
        <w:rPr>
          <w:rFonts w:ascii="Arial" w:cs="Arial" w:eastAsia="Arial" w:hAnsi="Arial"/>
          <w:sz w:val="18"/>
          <w:szCs w:val="18"/>
          <w:i w:val="1"/>
          <w:iCs w:val="1"/>
          <w:color w:val="auto"/>
        </w:rPr>
        <w:t xml:space="preserve">Len M. Hedge </w:t>
      </w:r>
      <w:r>
        <w:rPr>
          <w:rFonts w:ascii="Arial" w:cs="Arial" w:eastAsia="Arial" w:hAnsi="Arial"/>
          <w:sz w:val="18"/>
          <w:szCs w:val="18"/>
          <w:color w:val="auto"/>
        </w:rPr>
        <w:t>has served as our Vice President, Operations since March 2002, and served as our Vice President of Manufacturing from January 1999 to</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2002. Mr. Hedge served as Vice President of Operations for Plynetics Express Corporation, a rapid-prototyping and stereolithography services supplier, from December 1996 to December 1998. From October 1991 to December 1996, Mr. Hedge worked at Beckman Instruments Corporation as Manager for Prototype Manufacturing and Process Development.</w:t>
      </w:r>
    </w:p>
    <w:p>
      <w:pPr>
        <w:spacing w:after="0" w:line="79"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i w:val="1"/>
          <w:iCs w:val="1"/>
          <w:color w:val="auto"/>
        </w:rPr>
        <w:t xml:space="preserve">Michael J. Henry </w:t>
      </w:r>
      <w:r>
        <w:rPr>
          <w:rFonts w:ascii="Arial" w:cs="Arial" w:eastAsia="Arial" w:hAnsi="Arial"/>
          <w:sz w:val="16"/>
          <w:szCs w:val="16"/>
          <w:color w:val="auto"/>
        </w:rPr>
        <w:t>has served as our Vice President, Information Technology and Chief Information Officer since December 2005. Prior to joining Align,</w:t>
      </w:r>
      <w:r>
        <w:rPr>
          <w:rFonts w:ascii="Arial" w:cs="Arial" w:eastAsia="Arial" w:hAnsi="Arial"/>
          <w:sz w:val="16"/>
          <w:szCs w:val="16"/>
          <w:i w:val="1"/>
          <w:iCs w:val="1"/>
          <w:color w:val="auto"/>
        </w:rPr>
        <w:t xml:space="preserve"> </w:t>
      </w:r>
      <w:r>
        <w:rPr>
          <w:rFonts w:ascii="Arial" w:cs="Arial" w:eastAsia="Arial" w:hAnsi="Arial"/>
          <w:sz w:val="16"/>
          <w:szCs w:val="16"/>
          <w:color w:val="auto"/>
        </w:rPr>
        <w:t>Mr. Henry was Vice President, Global IT &amp; Information Security for IHS Inc., a Colorado-based information services provider, from February 2004. From January 2001 to January 2004, Mr. Henry was at Applied Materials, most recently as Senior Director of Global Architecture and Information Security. From April 1997 to December 2000, Mr. Henry served in various positions at Silicon Graphics, most recently as Director of Enterprise Information Security and Infrastructure. Earlier in his career Mr. Henry held technical positions at Tab Products, the University of California at Berkeley, and Alza Corporation.</w:t>
      </w:r>
    </w:p>
    <w:p>
      <w:pPr>
        <w:spacing w:after="0" w:line="50" w:lineRule="exact"/>
        <w:rPr>
          <w:sz w:val="20"/>
          <w:szCs w:val="20"/>
          <w:color w:val="auto"/>
        </w:rPr>
      </w:pPr>
    </w:p>
    <w:p>
      <w:pPr>
        <w:ind w:right="420" w:firstLine="360"/>
        <w:spacing w:after="0" w:line="312" w:lineRule="auto"/>
        <w:rPr>
          <w:sz w:val="20"/>
          <w:szCs w:val="20"/>
          <w:color w:val="auto"/>
        </w:rPr>
      </w:pPr>
      <w:r>
        <w:rPr>
          <w:rFonts w:ascii="Arial" w:cs="Arial" w:eastAsia="Arial" w:hAnsi="Arial"/>
          <w:sz w:val="16"/>
          <w:szCs w:val="16"/>
          <w:i w:val="1"/>
          <w:iCs w:val="1"/>
          <w:color w:val="auto"/>
        </w:rPr>
        <w:t xml:space="preserve">Gil Laks </w:t>
      </w:r>
      <w:r>
        <w:rPr>
          <w:rFonts w:ascii="Arial" w:cs="Arial" w:eastAsia="Arial" w:hAnsi="Arial"/>
          <w:sz w:val="16"/>
          <w:szCs w:val="16"/>
          <w:color w:val="auto"/>
        </w:rPr>
        <w:t>has served as our Vice President, International since September 2005, and served as our Vice President, Europe since June 2001.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us, Mr. Laks was Vice President, Business Development for the diagnostic imaging division of Singapore Technologies, from November 1999 to May 2001. He also served as Director of International for ISIX, Ltd., an educational computing services firm, from October 1996 to October 1999.</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Darrell Zoromski </w:t>
      </w:r>
      <w:r>
        <w:rPr>
          <w:rFonts w:ascii="Arial" w:cs="Arial" w:eastAsia="Arial" w:hAnsi="Arial"/>
          <w:sz w:val="18"/>
          <w:szCs w:val="18"/>
          <w:color w:val="auto"/>
        </w:rPr>
        <w:t>has served as our Vice President, Global Marketing and Chief Marketing Officer since December 2005. Prior to joining us,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Zoromski most recently held the position of Vice President and General Manager of CZV Labs at Carl Zeiss Vision, a global manufacturer and distributor of optical lenses to eye care physicians and chain retailers, where he worked from January 2002 to December 2005. From December 1999 to January 2002, Mr. Zoromski was Director, Breakfast Foods Division at Pillsbury Company and from December 1992 to November 1999, he served in management positions at S.C. Johnson &amp; Son, Inc, most recently as Director, Home Cleaning Division. Prior to joining S.C. Johnson &amp; Son, Mr. Zoromski was a brand manager at Procter &amp; Gamble Company from 1989 to 1991.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grow our revenue while controlling our expenses, the market price of our common stock may decline.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should consider our business and prospects in light of the risks, expenses and difficulties encountered by a company in an early stage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a company in an early stage of operations, we continue to incur significant operating expenses to:</w:t>
      </w:r>
    </w:p>
    <w:p>
      <w:pPr>
        <w:spacing w:after="0" w:line="103" w:lineRule="exact"/>
        <w:rPr>
          <w:sz w:val="20"/>
          <w:szCs w:val="20"/>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new software and increase the automation of our manufacturing processes;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execute our consumer marketing campaign and dental professional marketing efforts;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capacity of our business enterprise systems and manufacturing operations;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execute clinical research and education plans;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technological improvements to our products and new product development;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international sales and marketing efforts;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 our intellectual property, including trade secrets;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undertake quality assurance and improvement initiatives.</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For instance, in an effort to raise the profile of Invisalign and match prospective patients with our most experienced dental professionals, we have in the past utilized consumer marketing campaigns involving television, radio and print media. Marketing programs of this nature are expensive and may have limited success, if any, and may not result in revenue generation commensurate with their costs.</w:t>
      </w:r>
    </w:p>
    <w:p>
      <w:pPr>
        <w:spacing w:after="0" w:line="73" w:lineRule="exact"/>
        <w:rPr>
          <w:sz w:val="20"/>
          <w:szCs w:val="20"/>
          <w:color w:val="auto"/>
        </w:rPr>
      </w:pPr>
    </w:p>
    <w:p>
      <w:pPr>
        <w:ind w:right="120" w:firstLine="360"/>
        <w:spacing w:after="0" w:line="287" w:lineRule="auto"/>
        <w:rPr>
          <w:sz w:val="20"/>
          <w:szCs w:val="20"/>
          <w:color w:val="auto"/>
        </w:rPr>
      </w:pPr>
      <w:r>
        <w:rPr>
          <w:rFonts w:ascii="Arial" w:cs="Arial" w:eastAsia="Arial" w:hAnsi="Arial"/>
          <w:sz w:val="16"/>
          <w:szCs w:val="16"/>
          <w:color w:val="auto"/>
        </w:rPr>
        <w:t xml:space="preserve">In addition, in an attempt to help minimize treatment disruptions for former OrthoClear patients and their doctors, we committed to make Invisalign treatment available to existing OrthoClear patients at no charge from Align through our “Patients First Program”. As a result, we will receive no revenue for any additional cases we start under this program while incurring significant expenses as well as increased demands on our sales and customer service representatives and on our manufacturing processes. We currently anticipate that we will be able to complete the Patients First Program by the end of the second quarter of fiscal 2007. Our success will depend in part on our ability to effectively integrate the OrthoClear patients into our infrastructure with minimal impact on our existing and new doctors. In implementing this program, we experienced higher than anticipated demand from the Patients First Program as well as regular new patients. As a result, many of our customers experienced longer customer service hold times and slight delays in ClinCheck processing times during the fourth quarter of 2006 which we anticipate will continue during the first and second quarters of 2007. Although we believe these delays are temporary in nature, these difficulties could cause us to lose existing customers, face potential customer disputes or limit the number of new customers who purchase our products or services. This could cause a decline in our revenues, gross margins and net profits, and could adversely affect our operating results. </w:t>
      </w:r>
      <w:r>
        <w:rPr>
          <w:rFonts w:ascii="Arial" w:cs="Arial" w:eastAsia="Arial" w:hAnsi="Arial"/>
          <w:sz w:val="16"/>
          <w:szCs w:val="16"/>
          <w:i w:val="1"/>
          <w:iCs w:val="1"/>
          <w:color w:val="auto"/>
        </w:rPr>
        <w:t>See Part II, Item 7 “Management’s Discussion and Analysis of Financial Condition and Results of Operations—Overview”</w:t>
      </w:r>
      <w:r>
        <w:rPr>
          <w:rFonts w:ascii="Arial" w:cs="Arial" w:eastAsia="Arial" w:hAnsi="Arial"/>
          <w:sz w:val="16"/>
          <w:szCs w:val="16"/>
          <w:color w:val="auto"/>
        </w:rPr>
        <w:t>.</w:t>
      </w:r>
    </w:p>
    <w:p>
      <w:pPr>
        <w:spacing w:after="0" w:line="6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While we achieved profitability beginning in the fourth quarter of fiscal 2003 and through the second quarter of fiscal 2005, we experienced a net loss in the third quarter of 2005 as well as each quarter of 2006. If we are to achieve profitability in future periods, we will need to continue to increase our revenues, while controlling our expenses. While we generated positive operating cash flow for the first time in fiscal year 2003 and continued to generate positive operating cash flow in fiscal years 2004 and 2005, we experienced negative cash flow in 2006. We cannot be certain that we will be able to achieve positive cash flow from operations, from period to period, in the future. Because our business is evolving, it is difficult to predict our future operating results or levels of growth, and we have in the past not been and may in the future not be able to sustain our historical growth rates. If we do not increase profitability or revenue growth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otherwise meet the expectations of securities analysts or investors, the market price of our common stock will likely decline.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and expect our future financial results to fluctuate which may cause volatility in our stock price.</w:t>
      </w:r>
    </w:p>
    <w:p>
      <w:pPr>
        <w:sectPr>
          <w:pgSz w:w="11900" w:h="16838" w:orient="portrait"/>
          <w:cols w:equalWidth="0" w:num="1">
            <w:col w:w="11420"/>
          </w:cols>
          <w:pgMar w:left="240" w:top="125" w:right="239" w:bottom="0" w:gutter="0" w:footer="0" w:header="0"/>
        </w:sectPr>
      </w:pPr>
    </w:p>
    <w:bookmarkStart w:id="11" w:name="page12"/>
    <w:bookmarkEnd w:id="11"/>
    <w:p>
      <w:pPr>
        <w:spacing w:after="0" w:line="73" w:lineRule="exact"/>
        <w:rPr>
          <w:sz w:val="20"/>
          <w:szCs w:val="20"/>
          <w:color w:val="auto"/>
        </w:rPr>
      </w:pPr>
    </w:p>
    <w:p>
      <w:pPr>
        <w:ind w:right="180" w:firstLine="360"/>
        <w:spacing w:after="0" w:line="312" w:lineRule="auto"/>
        <w:rPr>
          <w:sz w:val="20"/>
          <w:szCs w:val="20"/>
          <w:color w:val="auto"/>
        </w:rPr>
      </w:pPr>
      <w:r>
        <w:rPr>
          <w:rFonts w:ascii="Arial" w:cs="Arial" w:eastAsia="Arial" w:hAnsi="Arial"/>
          <w:sz w:val="16"/>
          <w:szCs w:val="16"/>
          <w:color w:val="auto"/>
        </w:rPr>
        <w:t>We were incorporated in April 1997 and began sales of Invisalign in July 1999. Thus, we have a limited operating history, which makes it difficult to evaluate our future prospects. In addition, we expect our future quarterly and annual operating results to fluctuate as we focus on increasing our commercial sales. These fluctuations could cause our stock price to decline. Some of the factors that could cause our operating results to fluctuate include:</w:t>
      </w:r>
    </w:p>
    <w:p>
      <w:pPr>
        <w:spacing w:after="0" w:line="39" w:lineRule="exact"/>
        <w:rPr>
          <w:sz w:val="20"/>
          <w:szCs w:val="20"/>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timing of receipt of case product orders during a given quarter;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product mix due to the introduction of Invisalign Express, a lower-cost alternative for treating less complex cases;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w:t>
      </w:r>
    </w:p>
    <w:p>
      <w:pPr>
        <w:spacing w:after="0" w:line="117" w:lineRule="exact"/>
        <w:rPr>
          <w:rFonts w:ascii="Arial" w:cs="Arial" w:eastAsia="Arial" w:hAnsi="Arial"/>
          <w:sz w:val="18"/>
          <w:szCs w:val="18"/>
          <w:color w:val="auto"/>
        </w:rPr>
      </w:pPr>
    </w:p>
    <w:p>
      <w:pPr>
        <w:ind w:left="540" w:right="40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as a result of unexpected turnover in the labor force or the introduction of new production processes or as a result of natural or other disasters beyond our control;</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expenditures in connection with ongoing litigation;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inaccurate forecasting of revenues, production and other operating costs;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 to Invisalign.</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For instance, although we entered into a definitive agreement in October 2006 with OrthoClear whereby, among other things, OrthoClear agreed to discontinue all design, manufacture, marketing and sales of removable dental aligners worldwide, we experienced increased pricing pressure in 2005 and 2006 as a result of the commercial launch of OrthoClear’s product. Partly in response to this increased competition, in the fourth quarter of 2005, we changed our pricing structure and reduced our list price for full Invisalign treatment to $1,495 and expanded our volume based discount program to all doctors. These programs were in effect in 2006, and had an adverse impact on our revenues, gross margins and net profit (loss). Most of our expenses, such as employee compensation and lease payment obligations, are relatively fixed in the short term. Moreover, our expense levels are based, in part, on our expectations regarding future revenue levels. As a result, if our revenues for a particular period fall below our expectations, we may be unable to adjust spending quickly enough to offset any shortfall in revenues. Therefore, our operating results for a given period may be adversely affected. Due to these and other factors, we believe that quarter-to-quarter comparisons of our operating results may not be meaningful. You should not rely on our results for any one quarter as an indication of our future performance.</w:t>
      </w:r>
    </w:p>
    <w:p>
      <w:pPr>
        <w:spacing w:after="0" w:line="16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We depend on the sale of Invisalign for the vast majority of our revenues, and any decline in sales of Invisalign or average selling prices would adversely affect revenue, gross margin and net profits.</w:t>
      </w:r>
    </w:p>
    <w:p>
      <w:pPr>
        <w:spacing w:after="0" w:line="58"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We expect that revenues from the sale of Invisalign will continue to account for the vast majority of our total revenues for the foreseeable future. Continued and widespread market acceptance of Invisalign by orthodontists, GPs and consumers is critical to our future success. If orthodontists and GPs experience 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reduction in consumer demand for orthodontic services, if consumers prove unwilling to adopt Invisalign as rapidly as we anticipate or in the volume that we anticipate, if orthodontists and GPs do not collaborate as we expect, if orthodontists or GPs choose to use a competitive product rather than Invisalign or if the average selling price of our product declines as it has in the past, our operating results would be harmed. Factors that could cause Invisalign not to achieve market acceptance at the rate at which we expect, as well as the risk related to declining average selling prices are described more fully below.</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Dental professionals may not adopt Invisalign in sufficient numbers or as rapidly as we anticipate.</w:t>
      </w:r>
    </w:p>
    <w:p>
      <w:pPr>
        <w:spacing w:after="0" w:line="117"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success depends upon increasing acceptance and frequency of use of the Invisalign system by dental professionals. Invisalign requires orthodontists, GPs and their staff to undergo special training and learn to interact with patients in new ways. In addition, because Invisalign has only been in clinical testing since July 1997 and commercially available only since July 1999, orthodontists and GPs may be reluctant to adopt it until more historical clinical results are available. Also, increasing adoption and cumulative use by orthodontists and GPs will depend on factors such as the capability, safety, efficacy, ease of use, price, quality and reliability of our products, our ability to provide effective sales support, training and service and the availability of competing products, technologies and alternative treatments. In addition, unanticipated poor clinical performance of Invisalign could result in significant adverse publicity and, consequently, reduced acceptance by dental professionals. Also increased competition from direct competitors could cause us to lose market share and reduce dental professionals’ efforts and commitment to expand their Invisalign practice. If Invisalign does not achieve growing acceptance in the orthodontic and GP communities, our operating results will be harmed.</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Consumers may not adopt Invisalign in sufficient numbers or as rapidly as we anticipate.</w:t>
      </w:r>
    </w:p>
    <w:p>
      <w:pPr>
        <w:spacing w:after="0" w:line="117"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Our success depends upon the acceptance of Invisalign by a substantially larger number of dental professionals as well as potential consumers to whom we are now actively marketing. Invisalign represents a significant change from traditional orthodontic treatment, and consumers may be reluctant to accept it or may not find it preferable to conventional treatment. In addition, consumers may not comply with recommended treatment guidelines for Invisalign, which could compromise the effectiveness of their treatment. We have generally received positive feedback from both orthodontists, GPs and consumers regarding Invisalign as both an alternative to braces and as a clinical method for treatment of malocclusion, but a number of dental professionals believe that Invisalign is appropriate for only a limited percentage of their patients. Market acceptance will depend in part upon the recommendations of dental professionals, as well as other factors including effectiveness, safety, reliability, improved treatment, aesthetics, greater comfort and hygiene compared to conventional orthodontic products and price for Invisalign compared to competing products. Furthermore, consumers may not respond to our direct marketing campaigns or we may be unsuccessful in reaching our target audience. Adoption by consumers may also be affected by general macroeconomic conditions in North America and internationally, which fluctuate and could be affected by unstable global economic, political or other conditions.</w:t>
      </w:r>
    </w:p>
    <w:p>
      <w:pPr>
        <w:spacing w:after="0" w:line="169"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i w:val="1"/>
          <w:iCs w:val="1"/>
          <w:color w:val="auto"/>
        </w:rPr>
        <w:t>The orthodontists and GPs may choose not to collaborate and referrals between orthodontists and GPs may not increase at the rate that we anticipate or at all.</w:t>
      </w:r>
    </w:p>
    <w:p>
      <w:pPr>
        <w:spacing w:after="0" w:line="62" w:lineRule="exact"/>
        <w:rPr>
          <w:sz w:val="20"/>
          <w:szCs w:val="20"/>
          <w:color w:val="auto"/>
        </w:rPr>
      </w:pPr>
    </w:p>
    <w:p>
      <w:pPr>
        <w:ind w:right="280" w:firstLine="360"/>
        <w:spacing w:after="0" w:line="312" w:lineRule="auto"/>
        <w:rPr>
          <w:sz w:val="20"/>
          <w:szCs w:val="20"/>
          <w:color w:val="auto"/>
        </w:rPr>
      </w:pPr>
      <w:r>
        <w:rPr>
          <w:rFonts w:ascii="Arial" w:cs="Arial" w:eastAsia="Arial" w:hAnsi="Arial"/>
          <w:sz w:val="16"/>
          <w:szCs w:val="16"/>
          <w:color w:val="auto"/>
        </w:rPr>
        <w:t>Our success depends in part upon improving the collaboration and referral relationships between orthodontists and GP dentists. As specialists, orthodontists are a critical part of our business, and we expect that orthodontists will continue to treat the majority of complex cases and continue to drive research for expanding Invisalign applications. We expect, however, that the percentage of revenues generated by GPs will increase, largely due to the fact</w:t>
      </w:r>
    </w:p>
    <w:p>
      <w:pPr>
        <w:sectPr>
          <w:pgSz w:w="11900" w:h="16912" w:orient="portrait"/>
          <w:cols w:equalWidth="0" w:num="1">
            <w:col w:w="11420"/>
          </w:cols>
          <w:pgMar w:left="240" w:top="125" w:right="239" w:bottom="0" w:gutter="0" w:footer="0" w:header="0"/>
        </w:sectPr>
      </w:pPr>
    </w:p>
    <w:bookmarkStart w:id="12" w:name="page13"/>
    <w:bookmarkEnd w:id="12"/>
    <w:p>
      <w:pPr>
        <w:ind w:right="700"/>
        <w:spacing w:after="0" w:line="277" w:lineRule="auto"/>
        <w:rPr>
          <w:sz w:val="20"/>
          <w:szCs w:val="20"/>
          <w:color w:val="auto"/>
        </w:rPr>
      </w:pPr>
      <w:r>
        <w:rPr>
          <w:rFonts w:ascii="Arial" w:cs="Arial" w:eastAsia="Arial" w:hAnsi="Arial"/>
          <w:sz w:val="18"/>
          <w:szCs w:val="18"/>
          <w:color w:val="auto"/>
        </w:rPr>
        <w:t>that there are significantly more GPs than orthodontists. As the primary provider of dental care, GPs have access to a greater number of patients than orthodontists, possess a unique opportunity to educate these patients and introduce them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Invisalign, have the ability to refer appropriate cases to orthodontists and, in certain instances, may chose to treat less complex cases themselves. If this collaboration and increase in referrals does not occur or occurs more slowly than we anticipate, our operating results could be harmed.</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Declines in average selling prices of our products.</w:t>
      </w:r>
    </w:p>
    <w:p>
      <w:pPr>
        <w:spacing w:after="0" w:line="11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In response to challenges in our business, including increased competition, in November 2005, we reduced the list price of full Invisalign cases and in the third quarter of 2005 we introduced Invisalign Express, a lower-cost solution for less complex cases. In addition, in the fourth quarter of 2005, we expanded our volume based discount program to all doctors. As a result of these programs, the blended average selling price for our products declined in 2006 compared to 2005 and may further decline in 2007 as a result of greater participation in our volume discount program. Additionally in Europe, we introduced new pricing initiatives in the first quarter of 2006 which resulted in a lower average selling price in 2006. If we are required to introduce any similar programs in the future, our revenue, gross margin and net profits (losses) may be adversely affected.</w:t>
      </w:r>
    </w:p>
    <w:p>
      <w:pPr>
        <w:spacing w:after="0" w:line="17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dependent on our international manufacturing operations, which exposes us to foreign operational, political and other risks that may harm our business.</w:t>
      </w:r>
    </w:p>
    <w:p>
      <w:pPr>
        <w:spacing w:after="0" w:line="58" w:lineRule="exact"/>
        <w:rPr>
          <w:sz w:val="20"/>
          <w:szCs w:val="20"/>
          <w:color w:val="auto"/>
        </w:rPr>
      </w:pPr>
    </w:p>
    <w:p>
      <w:pPr>
        <w:ind w:right="220" w:firstLine="360"/>
        <w:spacing w:after="0" w:line="272" w:lineRule="auto"/>
        <w:rPr>
          <w:sz w:val="20"/>
          <w:szCs w:val="20"/>
          <w:color w:val="auto"/>
        </w:rPr>
      </w:pPr>
      <w:r>
        <w:rPr>
          <w:rFonts w:ascii="Arial" w:cs="Arial" w:eastAsia="Arial" w:hAnsi="Arial"/>
          <w:sz w:val="17"/>
          <w:szCs w:val="17"/>
          <w:color w:val="auto"/>
        </w:rPr>
        <w:t>Currently, two of our key production steps are performed in operations located outside of the U.S. At our facility in Costa Rica, technicians use a sophisticated, internally developed computer-modeling program to prepare electronic treatment plans, which are transmitted electronically back to the U.S. These electronic files form the basis of ClinCheck and are used to manufacture Aligner molds. In the first quarter of 2006, we completed the process of relocating our SLA mold fabrication operations from our Santa Clara, California facility to our third party shelter services provider, IMS, located in Juarez, Mexico. IMS also fabricates the Aligners and ships the completed products to our customers. As a result of this relocation, our reliance on our international manufacturing operations will continue to increase. Our increasing reliance on international operations exposes us to risks and uncertainties that may affect our business or results of operation, including:</w:t>
      </w:r>
    </w:p>
    <w:p>
      <w:pPr>
        <w:spacing w:after="0" w:line="70" w:lineRule="exact"/>
        <w:rPr>
          <w:sz w:val="20"/>
          <w:szCs w:val="20"/>
          <w:color w:val="auto"/>
        </w:rPr>
      </w:pPr>
    </w:p>
    <w:p>
      <w:pPr>
        <w:ind w:left="720" w:right="100" w:hanging="352"/>
        <w:spacing w:after="0" w:line="308" w:lineRule="auto"/>
        <w:tabs>
          <w:tab w:leader="none" w:pos="6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 hiring and retaining employees generally, as well as difficulties in hiring and retaining employees with the necessary skills to perform the more technical aspects of our operations, as well as staffing in numbers sufficient to implement the Patients First Program;</w:t>
      </w:r>
    </w:p>
    <w:p>
      <w:pPr>
        <w:spacing w:after="0" w:line="38" w:lineRule="exact"/>
        <w:rPr>
          <w:rFonts w:ascii="Arial" w:cs="Arial" w:eastAsia="Arial" w:hAnsi="Arial"/>
          <w:sz w:val="17"/>
          <w:szCs w:val="17"/>
          <w:color w:val="auto"/>
        </w:rPr>
      </w:pPr>
    </w:p>
    <w:p>
      <w:pPr>
        <w:ind w:left="680" w:hanging="31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our relationship with IMS, our third party shelter services provider;</w:t>
      </w:r>
    </w:p>
    <w:p>
      <w:pPr>
        <w:spacing w:after="0" w:line="117" w:lineRule="exact"/>
        <w:rPr>
          <w:rFonts w:ascii="Arial" w:cs="Arial" w:eastAsia="Arial" w:hAnsi="Arial"/>
          <w:sz w:val="18"/>
          <w:szCs w:val="18"/>
          <w:color w:val="auto"/>
        </w:rPr>
      </w:pPr>
    </w:p>
    <w:p>
      <w:pPr>
        <w:ind w:left="680" w:hanging="31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17" w:lineRule="exact"/>
        <w:rPr>
          <w:rFonts w:ascii="Arial" w:cs="Arial" w:eastAsia="Arial" w:hAnsi="Arial"/>
          <w:sz w:val="18"/>
          <w:szCs w:val="18"/>
          <w:color w:val="auto"/>
        </w:rPr>
      </w:pPr>
    </w:p>
    <w:p>
      <w:pPr>
        <w:ind w:left="680" w:hanging="31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17" w:lineRule="exact"/>
        <w:rPr>
          <w:rFonts w:ascii="Arial" w:cs="Arial" w:eastAsia="Arial" w:hAnsi="Arial"/>
          <w:sz w:val="18"/>
          <w:szCs w:val="18"/>
          <w:color w:val="auto"/>
        </w:rPr>
      </w:pPr>
    </w:p>
    <w:p>
      <w:pPr>
        <w:ind w:left="680" w:hanging="31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17" w:lineRule="exact"/>
        <w:rPr>
          <w:rFonts w:ascii="Arial" w:cs="Arial" w:eastAsia="Arial" w:hAnsi="Arial"/>
          <w:sz w:val="18"/>
          <w:szCs w:val="18"/>
          <w:color w:val="auto"/>
        </w:rPr>
      </w:pPr>
    </w:p>
    <w:p>
      <w:pPr>
        <w:ind w:left="680" w:hanging="31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17" w:lineRule="exact"/>
        <w:rPr>
          <w:rFonts w:ascii="Arial" w:cs="Arial" w:eastAsia="Arial" w:hAnsi="Arial"/>
          <w:sz w:val="18"/>
          <w:szCs w:val="18"/>
          <w:color w:val="auto"/>
        </w:rPr>
      </w:pPr>
    </w:p>
    <w:p>
      <w:pPr>
        <w:ind w:left="680" w:hanging="31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17" w:lineRule="exact"/>
        <w:rPr>
          <w:rFonts w:ascii="Arial" w:cs="Arial" w:eastAsia="Arial" w:hAnsi="Arial"/>
          <w:sz w:val="18"/>
          <w:szCs w:val="18"/>
          <w:color w:val="auto"/>
        </w:rPr>
      </w:pPr>
    </w:p>
    <w:p>
      <w:pPr>
        <w:ind w:left="680" w:hanging="31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w:t>
      </w:r>
    </w:p>
    <w:p>
      <w:pPr>
        <w:spacing w:after="0" w:line="117" w:lineRule="exact"/>
        <w:rPr>
          <w:rFonts w:ascii="Arial" w:cs="Arial" w:eastAsia="Arial" w:hAnsi="Arial"/>
          <w:sz w:val="18"/>
          <w:szCs w:val="18"/>
          <w:color w:val="auto"/>
        </w:rPr>
      </w:pPr>
    </w:p>
    <w:p>
      <w:pPr>
        <w:ind w:left="680" w:hanging="31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17" w:lineRule="exact"/>
        <w:rPr>
          <w:rFonts w:ascii="Arial" w:cs="Arial" w:eastAsia="Arial" w:hAnsi="Arial"/>
          <w:sz w:val="18"/>
          <w:szCs w:val="18"/>
          <w:color w:val="auto"/>
        </w:rPr>
      </w:pPr>
    </w:p>
    <w:p>
      <w:pPr>
        <w:ind w:left="680" w:hanging="31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restrictions and changes in tariffs;</w:t>
      </w:r>
    </w:p>
    <w:p>
      <w:pPr>
        <w:spacing w:after="0" w:line="117" w:lineRule="exact"/>
        <w:rPr>
          <w:rFonts w:ascii="Arial" w:cs="Arial" w:eastAsia="Arial" w:hAnsi="Arial"/>
          <w:sz w:val="18"/>
          <w:szCs w:val="18"/>
          <w:color w:val="auto"/>
        </w:rPr>
      </w:pPr>
    </w:p>
    <w:p>
      <w:pPr>
        <w:ind w:left="680" w:hanging="31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117" w:lineRule="exact"/>
        <w:rPr>
          <w:rFonts w:ascii="Arial" w:cs="Arial" w:eastAsia="Arial" w:hAnsi="Arial"/>
          <w:sz w:val="18"/>
          <w:szCs w:val="18"/>
          <w:color w:val="auto"/>
        </w:rPr>
      </w:pPr>
    </w:p>
    <w:p>
      <w:pPr>
        <w:ind w:left="680" w:hanging="31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1" w:lineRule="exact"/>
        <w:rPr>
          <w:sz w:val="20"/>
          <w:szCs w:val="20"/>
          <w:color w:val="auto"/>
        </w:rPr>
      </w:pPr>
    </w:p>
    <w:p>
      <w:pPr>
        <w:jc w:val="both"/>
        <w:ind w:right="460"/>
        <w:spacing w:after="0" w:line="314" w:lineRule="auto"/>
        <w:rPr>
          <w:sz w:val="20"/>
          <w:szCs w:val="20"/>
          <w:color w:val="auto"/>
        </w:rPr>
      </w:pPr>
      <w:r>
        <w:rPr>
          <w:rFonts w:ascii="Arial" w:cs="Arial" w:eastAsia="Arial" w:hAnsi="Arial"/>
          <w:sz w:val="16"/>
          <w:szCs w:val="16"/>
          <w:b w:val="1"/>
          <w:bCs w:val="1"/>
          <w:color w:val="auto"/>
        </w:rPr>
        <w:t>A key step in our manufacturing process relies on sophisticated computer technology that requires new technicians to undergo a relatively long training process. If we are unable to accurately predict our volume growth, and fail to hire sufficient number of technicians in advance of such demand, the delivery time of our product could be delayed which could adversely affect our results of operations.</w:t>
      </w:r>
    </w:p>
    <w:p>
      <w:pPr>
        <w:spacing w:after="0" w:line="38"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Training technicians to use our sophisticated computer modeling program that produces the electronic treatment forms that form the basis of ClinCheck takes approximately 90 to 120 days. As a result, if we are unable to accurately predict our volume growth, we may not have a sufficient number of trained technicians to timely create ClinCheck treatment forms within the timeframe our customers expect. Any delay in ClinCheck processing time could delay the ultimate delivery of finished Aligners to our customers. Such a delay could cause us to lose existing customers or limit the number of new customers who purchase our products. This could cause a decline in our revenue and net profits and could adversely affect our results of operations.</w:t>
      </w:r>
    </w:p>
    <w:p>
      <w:pPr>
        <w:spacing w:after="0" w:line="15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Our headquarters, ClinCheck setup and other manufacturing processes are all principally located in regions that are subject to earthquakes and other natural disasters.</w:t>
      </w:r>
    </w:p>
    <w:p>
      <w:pPr>
        <w:spacing w:after="0" w:line="58"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Our digital dental modeling is processed in our facility located in San Jose, Costa Rica. The operations team in Costa Rica creates ClinCheck treatment plans using sophisticated computer software. In addition, our Aligner molds and finished Aligners are fabricated by IMS, our third party shelter services provider located in Juarez, Mexico. Both Costa Rica and Mexico are earthquake zones and may be subject to other natural disasters. If there is a major earthquake or any other natural disaster in a region where one of these facilities is located, our ability to create ClinCheck treatment plans or manufacture and ship our Aligners could be compromised which could result in our customers experiencing a significant delay in receiving their completed Aligners. In addition, our headquarters facility is located in the San Francisco Bay area. A earthquake or other natural disaster in this region could result in a disruption in our operations. Any such business interruption could materially and adversely affect our business, financial condition and results of operations.</w:t>
      </w:r>
    </w:p>
    <w:p>
      <w:pPr>
        <w:sectPr>
          <w:pgSz w:w="11900" w:h="16838" w:orient="portrait"/>
          <w:cols w:equalWidth="0" w:num="1">
            <w:col w:w="11420"/>
          </w:cols>
          <w:pgMar w:left="240" w:top="125" w:right="239" w:bottom="0" w:gutter="0" w:footer="0" w:header="0"/>
        </w:sectPr>
      </w:pPr>
    </w:p>
    <w:bookmarkStart w:id="13" w:name="page14"/>
    <w:bookmarkEnd w:id="13"/>
    <w:p>
      <w:pPr>
        <w:ind w:right="180"/>
        <w:spacing w:after="0" w:line="282" w:lineRule="auto"/>
        <w:rPr>
          <w:sz w:val="20"/>
          <w:szCs w:val="20"/>
          <w:color w:val="auto"/>
        </w:rPr>
      </w:pPr>
      <w:r>
        <w:rPr>
          <w:rFonts w:ascii="Arial" w:cs="Arial" w:eastAsia="Arial" w:hAnsi="Arial"/>
          <w:sz w:val="18"/>
          <w:szCs w:val="18"/>
          <w:b w:val="1"/>
          <w:bCs w:val="1"/>
          <w:color w:val="auto"/>
        </w:rPr>
        <w:t>We currently rely on third parties to provide key inputs to our manufacturing process, and if our access to these inputs is diminished, our business may be harmed.</w:t>
      </w:r>
    </w:p>
    <w:p>
      <w:pPr>
        <w:spacing w:after="0" w:line="58"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We currently outsource key portions of our manufacturing process. We rely on IMS, a third party shelter services provider located in Juarez, Mexico, to fabricate Aligner molds as well as finished Aligners and to ship the completed product to customers. If IMS fails to deliver its components or if we lose its services, we may be unable to deliver our products in a timely manner, and our business may be harmed. Any difficulties encountered by IMS with respect to hiring and retaining qualified personnel, and maintaining acceptable manufacturing standards, controls, procedures and policies could disrupt our ability to deliver our products in a timely manner. Finding a substitute manufacturer may be expensive, time-consuming or impossible.</w:t>
      </w:r>
    </w:p>
    <w:p>
      <w:pPr>
        <w:spacing w:after="0" w:line="16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experience competition from manufacturers of traditional braces and expect aggressive competition from these and other companies that may introduce new technologies in the future.</w:t>
      </w:r>
    </w:p>
    <w:p>
      <w:pPr>
        <w:spacing w:after="0" w:line="58"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Currently, our Invisalign product competes directly against a product called Red, White and Blue, which is manufactured and distributed by Ormco Orthodontics, a division of Sybron Dental Specialties. In May 2006, Danaher Corporation purchased Sybron Dental Specialties. Prior to OrthoClear agreeing, pursuant to the terms of an agreement entered into in October 2006, to discontinue all design, manufacture, marketing and sales of removable dental aligners worldwide, our Invisalign system competed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directly with an aligner product manufactured by them. In addition, manufacturers of traditional braces, such as 3M Company, Sybron Dental Specialties and Dentsply International have substantially greater financial resources and manufacturing and marketing experience than we do and may, in the future, attempt to develop an orthodontic system similar to ours.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from OrthoClear and other competitors recently resulted in and may in the future result in volume discounting and price reductions, reduced gross margins, reduced profitability and loss of market share, any of which could have a material adverse effect on our revenue, volume growth, net profit and stock price. For instance, in the fourth quarter of 2005, in order to encourage continued use of our products, we extended our volume based discount program to all of our doctors. In addition, in the second half of 2005, we introduced Invisalign Express, a lower-cost solution for less complex cases as well as a new pricing initiative which had the effect of reducing our average selling price per case. These programs have adversely affected our revenues, gross margin and net profit.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8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58"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we will need to continually upgrade and enhance our information systems.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produce or procure from third parties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revenues and operating results.</w:t>
      </w:r>
    </w:p>
    <w:p>
      <w:pPr>
        <w:spacing w:after="0" w:line="89"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 addition, our data center operations are located in our headquarters in Santa Clara, California. We are in the process of moving our data center operations and changing our data center infrastructure. We expect the move to be completed over the next two years. We may experience technical difficulties in connection with these changes. If we experience a system failure or disruption for any reason, including in connection with changes in our data center location or infrastructure, the performance of our website would be harmed and our service could shut down.</w:t>
      </w:r>
    </w:p>
    <w:p>
      <w:pPr>
        <w:spacing w:after="0" w:line="63"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Throughout 2006 we focused on adding additional functionality into our business enterprise systems and intend to continue this effort for the foreseeable future, which will more efficiently integrate these systems with our other system applications, such as customer facing and manufacturing tools. 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Furthermore, we continuously upgrade our customer facing software applications, specifically ClinCheck and VIP. Software applications frequently contain errors or defects, especially when they are first introduced or when new versions are released. The discovery of a defect or error in a new upgraded version or the failure of our primary information systems may result in the following consequences, among others: loss of revenue or delay in market acceptance, damage to our reputation or increased service costs, any of which could have a material adverse effect upon our business, financial condition or results of operations.</w:t>
      </w:r>
    </w:p>
    <w:p>
      <w:pPr>
        <w:spacing w:after="0" w:line="18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72"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December 31, 2006, we had 85 issued U.S. patents, 120 pending U.S. patent applications, and numerous foreign issued patents, as well as pending foreign patent applications.</w:t>
      </w:r>
    </w:p>
    <w:p>
      <w:pPr>
        <w:sectPr>
          <w:pgSz w:w="11900" w:h="16838" w:orient="portrait"/>
          <w:cols w:equalWidth="0" w:num="1">
            <w:col w:w="11400"/>
          </w:cols>
          <w:pgMar w:left="240" w:top="121" w:right="259" w:bottom="0" w:gutter="0" w:footer="0" w:header="0"/>
        </w:sectPr>
      </w:pPr>
    </w:p>
    <w:bookmarkStart w:id="14" w:name="page15"/>
    <w:bookmarkEnd w:id="14"/>
    <w:p>
      <w:pPr>
        <w:ind w:right="20" w:firstLine="360"/>
        <w:spacing w:after="0" w:line="286" w:lineRule="auto"/>
        <w:rPr>
          <w:sz w:val="20"/>
          <w:szCs w:val="20"/>
          <w:color w:val="auto"/>
        </w:rPr>
      </w:pPr>
      <w:r>
        <w:rPr>
          <w:rFonts w:ascii="Arial" w:cs="Arial" w:eastAsia="Arial" w:hAnsi="Arial"/>
          <w:sz w:val="16"/>
          <w:szCs w:val="16"/>
          <w:color w:val="auto"/>
        </w:rPr>
        <w:t xml:space="preserve">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During fiscal 2005 and 2006, requests were filed with the United States Patent and Trademark Office (“USPTO”) by a San Francisco, California law firm, acting on behalf of an unnamed party and in some instances acting on behalf of OrthoClear, requesting re-examination of a number of our patents. </w:t>
      </w:r>
      <w:r>
        <w:rPr>
          <w:rFonts w:ascii="Arial" w:cs="Arial" w:eastAsia="Arial" w:hAnsi="Arial"/>
          <w:sz w:val="16"/>
          <w:szCs w:val="16"/>
          <w:i w:val="1"/>
          <w:iCs w:val="1"/>
          <w:color w:val="auto"/>
        </w:rPr>
        <w:t>See Part I Item 3 of this Annual Report on Form 10-K for a summary of the USPTO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w:t>
      </w:r>
      <w:r>
        <w:rPr>
          <w:rFonts w:ascii="Arial" w:cs="Arial" w:eastAsia="Arial" w:hAnsi="Arial"/>
          <w:sz w:val="16"/>
          <w:szCs w:val="16"/>
          <w:color w:val="auto"/>
        </w:rPr>
        <w:t>In addition, any protection afforded by foreign patents may be more limited than that provided under U.S. patents and intellectual property laws.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w:t>
      </w:r>
      <w:r>
        <w:rPr>
          <w:rFonts w:ascii="Arial" w:cs="Arial" w:eastAsia="Arial" w:hAnsi="Arial"/>
          <w:sz w:val="16"/>
          <w:szCs w:val="16"/>
          <w:i w:val="1"/>
          <w:iCs w:val="1"/>
          <w:color w:val="auto"/>
        </w:rPr>
        <w:t>See Part I Item 3 of this Annual Report on Form 10-K for a summary of the OrthoClear litigation.</w:t>
      </w:r>
      <w:r>
        <w:rPr>
          <w:rFonts w:ascii="Arial" w:cs="Arial" w:eastAsia="Arial" w:hAnsi="Arial"/>
          <w:sz w:val="16"/>
          <w:szCs w:val="16"/>
          <w:color w:val="auto"/>
        </w:rPr>
        <w:t xml:space="preserve">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of our proprietary rights might allow competitors to copy our technology, which could adversely affect our pricing and market share.</w:t>
      </w:r>
    </w:p>
    <w:p>
      <w:pPr>
        <w:spacing w:after="0" w:line="64"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addition, in an effort to protect our intellectual property we have in the past been and may in the future be involved in litigation. For example, in October 2006, we entered into an agreement with OrthoClear whereby OrthoClear and Align agreed, among other things, to dismiss all pending lawsuits against each other, including the patent infringement action against OrthoClear filed in the Western District of Wisconsin (Madison). In addition, we are currently involved in a patent infringement lawsuit with Ormco. The potential effects on our business operations resulting from similar litigation that we may participate in the future, whether or not ultimately determined in our favor or settled by us, are costly and divert the efforts and attention of our management and technical personnel from normal business operations. Any of these results from our litigation could adversely affect our results of operations and stock price.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 xml:space="preserve">In addition, we are currently a party to various other legal proceedings and claims. Management does not believe that the ultimate outcome of these other legal proceedings and claims will have a material adverse effect on our financial position or results of operations. In addition, 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 </w:t>
      </w:r>
      <w:r>
        <w:rPr>
          <w:rFonts w:ascii="Arial" w:cs="Arial" w:eastAsia="Arial" w:hAnsi="Arial"/>
          <w:sz w:val="17"/>
          <w:szCs w:val="17"/>
          <w:i w:val="1"/>
          <w:iCs w:val="1"/>
          <w:color w:val="auto"/>
        </w:rPr>
        <w:t>See Part I Item 3 of this Annual Report on Form 10-K for a summary of our material pending legal proceedings.</w:t>
      </w:r>
    </w:p>
    <w:p>
      <w:pPr>
        <w:spacing w:after="0" w:line="16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7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an Annual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currently believe our internal control over financial reporting is effective, the effectiveness of our internal controls to future periods is subject to the risk that our controls may become inadequate because of changes in conditions, and, as a result, the degree of compliance of our internal control over financial reporting with the policies or procedures may deteriorate.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would have an adverse effect on our stock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may depend on our ability to develop and successfully introduce new products.</w:t>
      </w:r>
    </w:p>
    <w:p>
      <w:pPr>
        <w:spacing w:after="0" w:line="121" w:lineRule="exact"/>
        <w:rPr>
          <w:sz w:val="20"/>
          <w:szCs w:val="20"/>
          <w:color w:val="auto"/>
        </w:rPr>
      </w:pPr>
    </w:p>
    <w:p>
      <w:pPr>
        <w:ind w:right="80" w:firstLine="360"/>
        <w:spacing w:after="0" w:line="269" w:lineRule="auto"/>
        <w:rPr>
          <w:sz w:val="20"/>
          <w:szCs w:val="20"/>
          <w:color w:val="auto"/>
        </w:rPr>
      </w:pPr>
      <w:r>
        <w:rPr>
          <w:rFonts w:ascii="Arial" w:cs="Arial" w:eastAsia="Arial" w:hAnsi="Arial"/>
          <w:sz w:val="17"/>
          <w:szCs w:val="17"/>
          <w:color w:val="auto"/>
        </w:rPr>
        <w:t>Our future success may depend on our ability to develop, obtain regulatory approval or clearance of, manufacture and market new products. In the second half of 2005, we launched Invisalign Express a lower-cost Aligner system used for less complex cases. We recently announced a phased rollout of ClinAdvisor, a new suite of software tools designed to make Invisalign case selection and submission processes more efficient for doctors. In addition, we plan to introduce a further series of software enhancements that will evolve Invisalign into distinct suites of software tools for the orthodontist and GP. There can be no assurance that we will be able to successfully develop, sell and achieve market acceptance of these and other new products and applications and enhanced versions of our existing product. The extent of, and rate at which, market acceptance and penetration are achieved by future products is a function of many variables, which include, among other things, price, safety, efficacy, reliability, marketing and sales efforts, the availability of third-party reimbursement of procedures using our new products, the existence of competing products and general economic conditions affecting purchasing patterns. Our ability to market and sell new products may also be subject to government regulation, including approval or clearance by the United States Food and Drug Administration, or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could cause our revenues to decline.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lose our key personnel or are unable to attract and retain key personnel, we may be unable to pursue business opportunities or develop our products.</w:t>
      </w:r>
    </w:p>
    <w:p>
      <w:pPr>
        <w:spacing w:after="0" w:line="58"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and marketing personnel and management teams. The loss of the services of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w:t>
      </w:r>
    </w:p>
    <w:p>
      <w:pPr>
        <w:sectPr>
          <w:pgSz w:w="11900" w:h="16838" w:orient="portrait"/>
          <w:cols w:equalWidth="0" w:num="1">
            <w:col w:w="11400"/>
          </w:cols>
          <w:pgMar w:left="240" w:top="125" w:right="259" w:bottom="0" w:gutter="0" w:footer="0" w:header="0"/>
        </w:sectPr>
      </w:pPr>
    </w:p>
    <w:bookmarkStart w:id="15" w:name="page16"/>
    <w:bookmarkEnd w:id="15"/>
    <w:p>
      <w:pPr>
        <w:ind w:right="280"/>
        <w:spacing w:after="0" w:line="277" w:lineRule="auto"/>
        <w:rPr>
          <w:sz w:val="20"/>
          <w:szCs w:val="20"/>
          <w:color w:val="auto"/>
        </w:rPr>
      </w:pPr>
      <w:r>
        <w:rPr>
          <w:rFonts w:ascii="Arial" w:cs="Arial" w:eastAsia="Arial" w:hAnsi="Arial"/>
          <w:sz w:val="18"/>
          <w:szCs w:val="18"/>
          <w:color w:val="auto"/>
        </w:rPr>
        <w:t>the further development of our business. Furthermore, we may not be successful in retaining our key personnel or their services. If we are unable to attract and retain key personnel, our business could be materially harmed.</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infringe the patents or proprietary rights of other parties or are subject to a patent infringement claim, our ability to grow our business will be severely limited.</w:t>
      </w:r>
    </w:p>
    <w:p>
      <w:pPr>
        <w:spacing w:after="0" w:line="5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7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maintain single supply relationships for certain of our key machines and materials technologies, and our business and operating results could be harmed if supply is restricted or ends.</w:t>
      </w:r>
    </w:p>
    <w:p>
      <w:pPr>
        <w:spacing w:after="0" w:line="58"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We maintain single supply relationships for many of these machines and materials technologies. In particular, we are committed to purchase all of our resin from a single-source and our scanning and stereolithography equipment are provided by single suppliers.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In the event of technology changes, delivery delays or shortages of these items, our business and growth prospects may be harmed.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rapid growth, and our failure to manage this growth could harm our business.</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We have expanded rapidly since we commenced commercial sales in 1999. Our headcount increased from approximately 50 employees as of December 31, 1999 to 1,253 employees as of December 31, 2006. This expansion will continue to place significant demands on our management and other resources and will require us to continue to develop and improve our operational, financial and other internal controls, both in the U.S. and internationally. In particular, growth increases the challenges involved in a number of areas, including recruiting and retaining sufficiently skilled personnel, providing adequate training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supervision to maintain our high quality standards, and preserving our culture and values. Our inability to effectively manage growth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direct sales force to sell our products, and any failure to maintain our direct sales force could harm our business.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Our ability to sell our products and generate revenues depends upon our direct sales force within our domestic and international markets. As of December 31, 2006 our North America sales organization consisted of 130 people of which 109 were direct sales representatives and 21 were sales administration and management. Internationally, we have approximately 40 people engaged in sales and sales support as December 31, 2006. We do not have any long-term employment contracts with the members of our direct sales force. The loss of the services of these key personnel may harm our business. If we are unable retain our direct sales force personnel or replace them with individuals of equivalent technical expertise and qualifications, or if we are unable to successfully instill such technical expertise or if we fail to reestablish strong relationships with our customers within a relatively short period of time, our revenues and our ability to maintain market share could be materially harmed.</w:t>
      </w:r>
    </w:p>
    <w:p>
      <w:pPr>
        <w:spacing w:after="0" w:line="17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Complying with regulations enforced by the Food and Drug Administration (FDA) and other regulatory authorities is an expensive and time-consuming process, and any failure to comply could result in substantial penalties.</w:t>
      </w:r>
    </w:p>
    <w:p>
      <w:pPr>
        <w:spacing w:after="0" w:line="58"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Our products are medical devices and are subject to extensive regulation in the U.S. and internationally. FDA regulations are wide ranging and govern, among other things:</w:t>
      </w:r>
    </w:p>
    <w:p>
      <w:pPr>
        <w:spacing w:after="0" w:line="62" w:lineRule="exact"/>
        <w:rPr>
          <w:sz w:val="20"/>
          <w:szCs w:val="20"/>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62" w:lineRule="exact"/>
        <w:rPr>
          <w:sz w:val="20"/>
          <w:szCs w:val="20"/>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refusing our requests for 510(k) clearance or pre-market approval of new products, new intended uses, or modifications to existing products;</w:t>
      </w:r>
    </w:p>
    <w:p>
      <w:pPr>
        <w:spacing w:after="0" w:line="128" w:lineRule="exact"/>
        <w:rPr>
          <w:rFonts w:ascii="Arial" w:cs="Arial" w:eastAsia="Arial" w:hAnsi="Arial"/>
          <w:sz w:val="17"/>
          <w:szCs w:val="17"/>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criminal prosecution.</w:t>
      </w:r>
    </w:p>
    <w:p>
      <w:pPr>
        <w:sectPr>
          <w:pgSz w:w="11900" w:h="16838" w:orient="portrait"/>
          <w:cols w:equalWidth="0" w:num="1">
            <w:col w:w="11400"/>
          </w:cols>
          <w:pgMar w:left="240" w:top="125" w:right="259" w:bottom="0" w:gutter="0" w:footer="0" w:header="0"/>
        </w:sectPr>
      </w:pPr>
    </w:p>
    <w:bookmarkStart w:id="16" w:name="page17"/>
    <w:bookmarkEnd w:id="16"/>
    <w:p>
      <w:pPr>
        <w:ind w:right="40" w:firstLine="360"/>
        <w:spacing w:after="0" w:line="302" w:lineRule="auto"/>
        <w:rPr>
          <w:sz w:val="20"/>
          <w:szCs w:val="20"/>
          <w:color w:val="auto"/>
        </w:rPr>
      </w:pPr>
      <w:r>
        <w:rPr>
          <w:rFonts w:ascii="Arial" w:cs="Arial" w:eastAsia="Arial" w:hAnsi="Arial"/>
          <w:sz w:val="16"/>
          <w:szCs w:val="16"/>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We and IMS, our third party shelter services provider have not yet been subject to an FDA inspection, and we cannot assure you we or IMS will successfully pass such an inspection in the future. Our failure or the failure of IMS to take satisfactory corrective action in response to an adverse inspection or the failure to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comply with applicable manufacturing regulations could result in enforcement action, and we may be required to find alternative manufacturers, which could be a long and costly process.</w:t>
      </w:r>
    </w:p>
    <w:p>
      <w:pPr>
        <w:spacing w:after="0" w:line="62"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the security of our customer and patient information is compromised, patient care could suffer, and we could be liable for related damages, and our reputation could be impaired.</w:t>
      </w:r>
    </w:p>
    <w:p>
      <w:pPr>
        <w:spacing w:after="0" w:line="58" w:lineRule="exact"/>
        <w:rPr>
          <w:sz w:val="20"/>
          <w:szCs w:val="20"/>
          <w:color w:val="auto"/>
        </w:rPr>
      </w:pPr>
    </w:p>
    <w:p>
      <w:pPr>
        <w:ind w:right="360" w:firstLine="360"/>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compliance with healthcare regulations becomes costly and difficult for our customers or for us, we may not be able to grow our business.</w:t>
      </w:r>
    </w:p>
    <w:p>
      <w:pPr>
        <w:spacing w:after="0" w:line="133" w:lineRule="exact"/>
        <w:rPr>
          <w:sz w:val="20"/>
          <w:szCs w:val="20"/>
          <w:color w:val="auto"/>
        </w:rPr>
      </w:pPr>
    </w:p>
    <w:p>
      <w:pPr>
        <w:jc w:val="both"/>
        <w:ind w:right="120" w:firstLine="360"/>
        <w:spacing w:after="0" w:line="312" w:lineRule="auto"/>
        <w:rPr>
          <w:sz w:val="20"/>
          <w:szCs w:val="20"/>
          <w:color w:val="auto"/>
        </w:rPr>
      </w:pPr>
      <w:r>
        <w:rPr>
          <w:rFonts w:ascii="Arial" w:cs="Arial" w:eastAsia="Arial" w:hAnsi="Arial"/>
          <w:sz w:val="16"/>
          <w:szCs w:val="16"/>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Furthermore, our healthcare provider customers are also subject to a wide variety of laws and regulations that could affect the nature and scope of their relationships with us.</w:t>
      </w:r>
    </w:p>
    <w:p>
      <w:pPr>
        <w:spacing w:after="0" w:line="3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6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Extensive and changing government regulation of the healthcare industry may be expensive to comply with and exposes us to the risk of substantial government penalties.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 addition to medical device laws and regulations, numerous state and federal healthcare-related laws regulate our business, covering areas such as:</w:t>
      </w:r>
    </w:p>
    <w:p>
      <w:pPr>
        <w:spacing w:after="0" w:line="129"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17" w:lineRule="exact"/>
        <w:rPr>
          <w:rFonts w:ascii="Arial" w:cs="Arial" w:eastAsia="Arial" w:hAnsi="Arial"/>
          <w:sz w:val="18"/>
          <w:szCs w:val="18"/>
          <w:color w:val="auto"/>
        </w:rPr>
      </w:pPr>
    </w:p>
    <w:p>
      <w:pPr>
        <w:ind w:left="540" w:right="10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the marketing and advertising of our products.</w:t>
      </w:r>
    </w:p>
    <w:p>
      <w:pPr>
        <w:spacing w:after="0" w:line="117"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our international sales, including the need to obtain necessary foreign regulatory clearance or approvals.</w:t>
      </w:r>
    </w:p>
    <w:p>
      <w:pPr>
        <w:spacing w:after="0" w:line="12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We currently sell our products in Europe, Canada, Mexico, Brazil, Australia, Hong Kong and Japan and may expand into other countries from time to time. We do not know whether orthodontists, GPs and consumers outside our domestic market will adopt Invisalign in sufficient numbers or as rapidly as we anticipate. In addition, sales of our products outside the U.S.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7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business exposes us to potential product liability claims, and we may incur substantial expenses if we are subject to product liability claims or litigation.</w:t>
      </w:r>
    </w:p>
    <w:p>
      <w:pPr>
        <w:spacing w:after="0" w:line="58"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w:t>
      </w:r>
    </w:p>
    <w:p>
      <w:pPr>
        <w:sectPr>
          <w:pgSz w:w="11900" w:h="16838" w:orient="portrait"/>
          <w:cols w:equalWidth="0" w:num="1">
            <w:col w:w="11420"/>
          </w:cols>
          <w:pgMar w:left="240" w:top="125" w:right="239" w:bottom="0" w:gutter="0" w:footer="0" w:header="0"/>
        </w:sectPr>
      </w:pPr>
    </w:p>
    <w:bookmarkStart w:id="17" w:name="page18"/>
    <w:bookmarkEnd w:id="17"/>
    <w:p>
      <w:pPr>
        <w:ind w:right="320"/>
        <w:spacing w:after="0" w:line="342" w:lineRule="auto"/>
        <w:rPr>
          <w:sz w:val="20"/>
          <w:szCs w:val="20"/>
          <w:color w:val="auto"/>
        </w:rPr>
      </w:pPr>
      <w:r>
        <w:rPr>
          <w:rFonts w:ascii="Arial" w:cs="Arial" w:eastAsia="Arial" w:hAnsi="Arial"/>
          <w:sz w:val="16"/>
          <w:szCs w:val="16"/>
          <w:color w:val="auto"/>
        </w:rPr>
        <w:t>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fiscal 2006 and during the first two months of fiscal 2007, the market price for our common stock was volatile.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market price of our common stock could be subject to wide price fluctuations in response to various factors, many of which are beyond our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factors include:</w:t>
      </w:r>
    </w:p>
    <w:p>
      <w:pPr>
        <w:spacing w:after="0" w:line="103" w:lineRule="exact"/>
        <w:rPr>
          <w:sz w:val="20"/>
          <w:szCs w:val="20"/>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revenues or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In the past, class action litigation has often been brought against the issuing company following periods of volatility in the market price of a company’s securities. If a securities class action suit is filed against us in the future, we would incur substantial legal fees, and our management’s attention and resources would be diverted from operating our business in order to respond to the litigation.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significant amounts of our common stock may depress our stock price.</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or interpretations of, accounting rules and regulations, could result in unfavorable accounting charges.</w:t>
      </w:r>
    </w:p>
    <w:p>
      <w:pPr>
        <w:spacing w:after="0" w:line="121"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79" w:lineRule="exact"/>
        <w:rPr>
          <w:sz w:val="20"/>
          <w:szCs w:val="20"/>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accounting for share-based payments;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17"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 xml:space="preserve">In particular, the FASB recently enacted SFAS No. 123 (revised 2004), “Share-Based Payment” (“FAS 123R”) which we adopted effective in the first quarter of fiscal 2006. </w:t>
      </w:r>
      <w:r>
        <w:rPr>
          <w:rFonts w:ascii="Arial" w:cs="Arial" w:eastAsia="Arial" w:hAnsi="Arial"/>
          <w:sz w:val="18"/>
          <w:szCs w:val="18"/>
          <w:i w:val="1"/>
          <w:iCs w:val="1"/>
          <w:color w:val="auto"/>
        </w:rPr>
        <w:t>See Note 10 “Shareholders’ Equity” of the Notes to Consolidated Financial Statements for further information on the impact of FAS</w:t>
      </w:r>
      <w:r>
        <w:rPr>
          <w:rFonts w:ascii="Arial" w:cs="Arial" w:eastAsia="Arial" w:hAnsi="Arial"/>
          <w:sz w:val="18"/>
          <w:szCs w:val="18"/>
          <w:color w:val="auto"/>
        </w:rPr>
        <w:t xml:space="preserve"> </w:t>
      </w:r>
      <w:r>
        <w:rPr>
          <w:rFonts w:ascii="Arial" w:cs="Arial" w:eastAsia="Arial" w:hAnsi="Arial"/>
          <w:sz w:val="18"/>
          <w:szCs w:val="18"/>
          <w:i w:val="1"/>
          <w:iCs w:val="1"/>
          <w:color w:val="auto"/>
        </w:rPr>
        <w:t>123R on our reported financial results.</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have made use of a shareholders rights’ plan to limit the possibility that we are acquired, which may mean that a transaction that shareholders are in favor of or are benefited by may be prevented.</w:t>
      </w:r>
    </w:p>
    <w:p>
      <w:pPr>
        <w:spacing w:after="0" w:line="58"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of directors has designated 200,000 shares as Series A participating preferred stock in connection with our shareholder rights’ plan. The issuance of preferred stock under certain circumstances could have the effect of delaying or preventing an acquisition of the company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Our headquarters are located in Santa Clara, California. We lease approximately 127,000 square feet of space where we house our customer support, operations, research and development and administrative personnel. We lease our Santa Clara facilities under four leases, which expire in June 2010. The combined monthly rent for the Santa Clara facilities is approximately $75,000. Commencing July 1, 2005 and continuing on the first day of each calendar month thereafter, $11,000 will be deducted from the $1.3 million security deposit previously paid by us to the lessor and such amount will be applied against the monthly base rent for the Santa Clara facilities.</w:t>
      </w:r>
    </w:p>
    <w:p>
      <w:pPr>
        <w:sectPr>
          <w:pgSz w:w="11900" w:h="16838" w:orient="portrait"/>
          <w:cols w:equalWidth="0" w:num="1">
            <w:col w:w="11420"/>
          </w:cols>
          <w:pgMar w:left="240" w:top="125" w:right="239" w:bottom="0" w:gutter="0" w:footer="0" w:header="0"/>
        </w:sectPr>
      </w:pPr>
    </w:p>
    <w:bookmarkStart w:id="18" w:name="page19"/>
    <w:bookmarkEnd w:id="18"/>
    <w:p>
      <w:pPr>
        <w:ind w:right="160" w:firstLine="360"/>
        <w:spacing w:after="0" w:line="277" w:lineRule="auto"/>
        <w:rPr>
          <w:sz w:val="20"/>
          <w:szCs w:val="20"/>
          <w:color w:val="auto"/>
        </w:rPr>
      </w:pPr>
      <w:r>
        <w:rPr>
          <w:rFonts w:ascii="Arial" w:cs="Arial" w:eastAsia="Arial" w:hAnsi="Arial"/>
          <w:sz w:val="18"/>
          <w:szCs w:val="18"/>
          <w:color w:val="auto"/>
        </w:rPr>
        <w:t>We operate a facility in San Jose, Costa Rica. The facility comprises approximately 63,000 square feet of manufacturing and office space. The monthly rent for the Costa Rica facility is approximately $59,000. The lease for this facility expires at the end of 2008.</w:t>
      </w:r>
    </w:p>
    <w:p>
      <w:pPr>
        <w:spacing w:after="0" w:line="62"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Our European headquarters are located in Amsterdam, The Netherlands. The facility comprises approximately 11,000 square feet of office space. The monthly rent for the Amsterdam facility is approximately $33,000. The lease for this facility expires in 2014 with an option to terminate with a fee of $238,000 during 2009. We expect this lease will not be renewed beyond 2009.</w:t>
      </w:r>
    </w:p>
    <w:p>
      <w:pPr>
        <w:spacing w:after="0" w:line="7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We believe that our existing facilities are adequate to meet current requirements and that additional or substitute space will be available as needed to accommodate any expansion of operations.</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OrthoClear</w:t>
      </w:r>
    </w:p>
    <w:p>
      <w:pPr>
        <w:spacing w:after="0" w:line="117"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i w:val="1"/>
          <w:iCs w:val="1"/>
          <w:color w:val="auto"/>
        </w:rPr>
        <w:t xml:space="preserve">State Action. </w:t>
      </w:r>
      <w:r>
        <w:rPr>
          <w:rFonts w:ascii="Arial" w:cs="Arial" w:eastAsia="Arial" w:hAnsi="Arial"/>
          <w:sz w:val="17"/>
          <w:szCs w:val="17"/>
          <w:color w:val="auto"/>
        </w:rPr>
        <w:t>On February 2, 2005, we filed a multi-claim lawsuit in San Francisco County Superior Court against defendants OrthoClear, Inc.,</w:t>
      </w:r>
      <w:r>
        <w:rPr>
          <w:rFonts w:ascii="Arial" w:cs="Arial" w:eastAsia="Arial" w:hAnsi="Arial"/>
          <w:sz w:val="17"/>
          <w:szCs w:val="17"/>
          <w:i w:val="1"/>
          <w:iCs w:val="1"/>
          <w:color w:val="auto"/>
        </w:rPr>
        <w:t xml:space="preserve"> </w:t>
      </w:r>
      <w:r>
        <w:rPr>
          <w:rFonts w:ascii="Arial" w:cs="Arial" w:eastAsia="Arial" w:hAnsi="Arial"/>
          <w:sz w:val="17"/>
          <w:szCs w:val="17"/>
          <w:color w:val="auto"/>
        </w:rPr>
        <w:t>OrthoClear Holdings, Inc., Muhammad Ziaullah Chishti, Bao Tran, Peter Riepenhausen, Joe Breeland, Jeff Tunnell, Christopher Kawaja, and Charles Wen (the “State Action”). Among other things, the State Action alleged tort, contract, statutory and common law causes of action arising from OrthoClear and the individual defendants’ alleged plan to unlawfully utilize our intellectual property, confidential information and employees. The State Action also alleged that OrthoClear, Chishti and other defendants were in breach of contractual obligations, statutory law and common law for attempting to intentionally interfere and disrupt our ongoing business operations and improperly gain access to its customer relationships and trade secrets. Subsequent to the initial filing date, there were extensive proceedings in the case as reported in previous Align filings.</w:t>
      </w:r>
    </w:p>
    <w:p>
      <w:pPr>
        <w:spacing w:after="0" w:line="7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i w:val="1"/>
          <w:iCs w:val="1"/>
          <w:color w:val="auto"/>
        </w:rPr>
        <w:t xml:space="preserve">Federal Lanham Action. </w:t>
      </w:r>
      <w:r>
        <w:rPr>
          <w:rFonts w:ascii="Arial" w:cs="Arial" w:eastAsia="Arial" w:hAnsi="Arial"/>
          <w:sz w:val="16"/>
          <w:szCs w:val="16"/>
          <w:color w:val="auto"/>
        </w:rPr>
        <w:t>On July 19, 2005 and June 19, 2006, we filed a multi-claim lawsuit in the United States District Court for the Northern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of California against OrthoClear (the “Federal Lanham Action I” and “Federal Lanham Action II”, respectively). The Federal Lanham Action I and Federal Lanham Action II alleged numerous violations of the Federal Lanham Act (15 U.S.C. §1051 et seq.) by OrthoClear and its officers and employees. These violations include unfair competition, trademark infringement and false advertising, among other things. The Federal Lanham Action I and Federal Lanham Action II also alleged violations by OrthoClear of California’s Unfair Practices Act (California Business and Professions Code §17200 et seq.).</w:t>
      </w:r>
    </w:p>
    <w:p>
      <w:pPr>
        <w:spacing w:after="0" w:line="50"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i w:val="1"/>
          <w:iCs w:val="1"/>
          <w:color w:val="auto"/>
        </w:rPr>
        <w:t xml:space="preserve">Patent Infringement ITC Complaint. </w:t>
      </w:r>
      <w:r>
        <w:rPr>
          <w:rFonts w:ascii="Arial" w:cs="Arial" w:eastAsia="Arial" w:hAnsi="Arial"/>
          <w:sz w:val="16"/>
          <w:szCs w:val="16"/>
          <w:color w:val="auto"/>
        </w:rPr>
        <w:t>On January 11, 2006, we filed a formal complaint with the United States International Trade Commission (ITC)</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OrthoClear, seeking to halt the importation into the United States of infringing aligners manufactured by OrthoClear in Pakistan in violation of our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patents and other intellectual property rights (the “ITC Complaint”). The ITC instituted a formal investigation on February 7, 2006.</w:t>
      </w:r>
    </w:p>
    <w:p>
      <w:pPr>
        <w:spacing w:after="0" w:line="11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i w:val="1"/>
          <w:iCs w:val="1"/>
          <w:color w:val="auto"/>
        </w:rPr>
        <w:t xml:space="preserve">Patent Infringement Federal Action. </w:t>
      </w:r>
      <w:r>
        <w:rPr>
          <w:rFonts w:ascii="Arial" w:cs="Arial" w:eastAsia="Arial" w:hAnsi="Arial"/>
          <w:sz w:val="18"/>
          <w:szCs w:val="18"/>
          <w:color w:val="auto"/>
        </w:rPr>
        <w:t>On January 11, 2006, we filed a federal court patent infringement action against OrthoClear in the Western District</w:t>
      </w:r>
      <w:r>
        <w:rPr>
          <w:rFonts w:ascii="Arial" w:cs="Arial" w:eastAsia="Arial" w:hAnsi="Arial"/>
          <w:sz w:val="18"/>
          <w:szCs w:val="18"/>
          <w:i w:val="1"/>
          <w:iCs w:val="1"/>
          <w:color w:val="auto"/>
        </w:rPr>
        <w:t xml:space="preserve"> </w:t>
      </w:r>
      <w:r>
        <w:rPr>
          <w:rFonts w:ascii="Arial" w:cs="Arial" w:eastAsia="Arial" w:hAnsi="Arial"/>
          <w:sz w:val="18"/>
          <w:szCs w:val="18"/>
          <w:color w:val="auto"/>
        </w:rPr>
        <w:t>of Wisconsin (Madison) (the “Patent Infringement Federal Action”) asserting infringement of our U.S. Patents Nos. 6,685,469; 6,450,807; 6,394,801; 6,398,548; 6,722,880; 6,629,840; 6,669,037; 6,318,994; 6,729,876; 6,602,070; 6,471,511 and 6,227,850.</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OrthoClear Agreement</w:t>
      </w:r>
    </w:p>
    <w:p>
      <w:pPr>
        <w:spacing w:after="0" w:line="117" w:lineRule="exact"/>
        <w:rPr>
          <w:sz w:val="20"/>
          <w:szCs w:val="20"/>
          <w:color w:val="auto"/>
        </w:rPr>
      </w:pPr>
    </w:p>
    <w:p>
      <w:pPr>
        <w:ind w:right="300" w:firstLine="360"/>
        <w:spacing w:after="0" w:line="308" w:lineRule="auto"/>
        <w:rPr>
          <w:sz w:val="20"/>
          <w:szCs w:val="20"/>
          <w:color w:val="auto"/>
        </w:rPr>
      </w:pPr>
      <w:r>
        <w:rPr>
          <w:rFonts w:ascii="Arial" w:cs="Arial" w:eastAsia="Arial" w:hAnsi="Arial"/>
          <w:sz w:val="17"/>
          <w:szCs w:val="17"/>
          <w:color w:val="auto"/>
        </w:rPr>
        <w:t>On October 13, 2006, Align and OrthoClear, Inc., OrthoClear Holdings, Inc., and OrthoClear Pakistan Pvt. Ltd. (“OrthoClear”), together with certain individuals associated with OrthoClear, executed a formal agreement (the “OrthoClear Agreement”) that included the following terms:</w:t>
      </w:r>
    </w:p>
    <w:p>
      <w:pPr>
        <w:spacing w:after="0" w:line="38" w:lineRule="exact"/>
        <w:rPr>
          <w:sz w:val="20"/>
          <w:szCs w:val="20"/>
          <w:color w:val="auto"/>
        </w:rPr>
      </w:pPr>
    </w:p>
    <w:p>
      <w:pPr>
        <w:ind w:left="500" w:hanging="132"/>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OrthoClear was required to immediately discontinue all design, manufacture, marketing and sales of removable dental aligners worldwide;</w:t>
      </w:r>
    </w:p>
    <w:p>
      <w:pPr>
        <w:spacing w:after="0" w:line="128" w:lineRule="exact"/>
        <w:rPr>
          <w:rFonts w:ascii="Arial" w:cs="Arial" w:eastAsia="Arial" w:hAnsi="Arial"/>
          <w:sz w:val="17"/>
          <w:szCs w:val="17"/>
          <w:color w:val="auto"/>
        </w:rPr>
      </w:pPr>
    </w:p>
    <w:p>
      <w:pPr>
        <w:ind w:left="540" w:right="60" w:hanging="172"/>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OrthoClear consented to the entry of an exclusion order by the ITC, enforced by the United States Customs Service, which prevents OrthoClear from importing its dental aligner products into the U.S., either directly or through a third party and the ITC subsequently terminated its formal investigation on October 27, 2006;</w:t>
      </w:r>
    </w:p>
    <w:p>
      <w:pPr>
        <w:spacing w:after="0" w:line="73" w:lineRule="exact"/>
        <w:rPr>
          <w:rFonts w:ascii="Arial" w:cs="Arial" w:eastAsia="Arial" w:hAnsi="Arial"/>
          <w:sz w:val="18"/>
          <w:szCs w:val="18"/>
          <w:color w:val="auto"/>
        </w:rPr>
      </w:pPr>
    </w:p>
    <w:p>
      <w:pPr>
        <w:ind w:left="540" w:right="100" w:hanging="17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parties agreed to dismiss all pending lawsuits against each other, including the State Action, Federal Lanham Action I, Federal Lanham Action II, and Patent Infringement Federal Action, with prejudice, and each such action has been subsequently dismissed;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OrthoClear agreed to stop accepting new patient cases for treatment;</w:t>
      </w:r>
    </w:p>
    <w:p>
      <w:pPr>
        <w:spacing w:after="0" w:line="117" w:lineRule="exact"/>
        <w:rPr>
          <w:rFonts w:ascii="Arial" w:cs="Arial" w:eastAsia="Arial" w:hAnsi="Arial"/>
          <w:sz w:val="18"/>
          <w:szCs w:val="18"/>
          <w:color w:val="auto"/>
        </w:rPr>
      </w:pPr>
    </w:p>
    <w:p>
      <w:pPr>
        <w:ind w:left="540" w:right="60" w:hanging="17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OrthoClear and Muhammad Ziaullah Chishti its CEO, and Charles Wen, its President, transferred and assigned to Align all intellectual property rights with application to the treatment of malocclusion;</w:t>
      </w:r>
    </w:p>
    <w:p>
      <w:pPr>
        <w:spacing w:after="0" w:line="62" w:lineRule="exact"/>
        <w:rPr>
          <w:rFonts w:ascii="Arial" w:cs="Arial" w:eastAsia="Arial" w:hAnsi="Arial"/>
          <w:sz w:val="18"/>
          <w:szCs w:val="18"/>
          <w:color w:val="auto"/>
        </w:rPr>
      </w:pPr>
    </w:p>
    <w:p>
      <w:pPr>
        <w:ind w:left="540" w:right="320" w:hanging="17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OrthoClear principals Muhammad Ziaullah Chishti, Charles Wen, Peter Riepenhausen, and Christopher Kawaja signed 5-year, global non-compete agreements in the field of removable aligner therapy products and related software market;</w:t>
      </w:r>
    </w:p>
    <w:p>
      <w:pPr>
        <w:spacing w:after="0" w:line="62" w:lineRule="exact"/>
        <w:rPr>
          <w:rFonts w:ascii="Arial" w:cs="Arial" w:eastAsia="Arial" w:hAnsi="Arial"/>
          <w:sz w:val="18"/>
          <w:szCs w:val="18"/>
          <w:color w:val="auto"/>
        </w:rPr>
      </w:pPr>
    </w:p>
    <w:p>
      <w:pPr>
        <w:ind w:left="540" w:right="280" w:hanging="17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OrthoClear employees Joe Breeland and Jeff Tunnell signed 5-year U.S. non-compete agreements and prohibiting their personal participation in the removable aligner therapy product and related software market;</w:t>
      </w:r>
    </w:p>
    <w:p>
      <w:pPr>
        <w:spacing w:after="0" w:line="62" w:lineRule="exact"/>
        <w:rPr>
          <w:rFonts w:ascii="Arial" w:cs="Arial" w:eastAsia="Arial" w:hAnsi="Arial"/>
          <w:sz w:val="18"/>
          <w:szCs w:val="18"/>
          <w:color w:val="auto"/>
        </w:rPr>
      </w:pPr>
    </w:p>
    <w:p>
      <w:pPr>
        <w:ind w:left="540" w:right="40" w:hanging="172"/>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We made Invisalign treatment available to OrthoClear patients in the United States, Canada and Hong Kong at no charge from Align. We implemented this program as the Patients First Program. </w:t>
      </w:r>
      <w:r>
        <w:rPr>
          <w:rFonts w:ascii="Arial" w:cs="Arial" w:eastAsia="Arial" w:hAnsi="Arial"/>
          <w:sz w:val="18"/>
          <w:szCs w:val="18"/>
          <w:i w:val="1"/>
          <w:iCs w:val="1"/>
          <w:color w:val="auto"/>
        </w:rPr>
        <w:t>See Part II, Item 7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Operations—Overview” for discussion of the Patients First Program</w:t>
      </w:r>
      <w:r>
        <w:rPr>
          <w:rFonts w:ascii="Arial" w:cs="Arial" w:eastAsia="Arial" w:hAnsi="Arial"/>
          <w:sz w:val="18"/>
          <w:szCs w:val="18"/>
          <w:color w:val="auto"/>
        </w:rPr>
        <w:t>.</w:t>
      </w:r>
    </w:p>
    <w:p>
      <w:pPr>
        <w:spacing w:after="0" w:line="73"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In accordance with the terms of the OrthoClear Agreement, on October 16, 2006, we made a one-time cash payment of $20.0 million to OrthoClear Holdings, Inc.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Ormco</w:t>
      </w:r>
    </w:p>
    <w:p>
      <w:pPr>
        <w:spacing w:after="0" w:line="117"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On January 6, 2003, Ormco Corporation (“Ormco”) filed suit against us in the United States District Court for the Central District, Orange County Division, asserting infringement of U.S. Patent Nos. 5,447,432, 5,683,243 and 6,244,861. Ormco is a division of Sybron Dental Specialties. In May 2006, Danaher Corporation acquired Sybron Dental Specialties. The complaint sought unspecified monetary damages and injunctive relief. On February 18, 2003, we answered the complaint and asserted counterclaims seeking a declaration by the Court of invalidity and non-infringement of the asserted</w:t>
      </w:r>
    </w:p>
    <w:p>
      <w:pPr>
        <w:sectPr>
          <w:pgSz w:w="11900" w:h="16838" w:orient="portrait"/>
          <w:cols w:equalWidth="0" w:num="1">
            <w:col w:w="11420"/>
          </w:cols>
          <w:pgMar w:left="240" w:top="125" w:right="239" w:bottom="96"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96" w:gutter="0" w:footer="0" w:header="0"/>
          <w:type w:val="continuous"/>
        </w:sectPr>
      </w:pPr>
    </w:p>
    <w:bookmarkStart w:id="19" w:name="page20"/>
    <w:bookmarkEnd w:id="19"/>
    <w:p>
      <w:pPr>
        <w:ind w:right="100"/>
        <w:spacing w:after="0" w:line="272" w:lineRule="auto"/>
        <w:rPr>
          <w:sz w:val="20"/>
          <w:szCs w:val="20"/>
          <w:color w:val="auto"/>
        </w:rPr>
      </w:pPr>
      <w:r>
        <w:rPr>
          <w:rFonts w:ascii="Arial" w:cs="Arial" w:eastAsia="Arial" w:hAnsi="Arial"/>
          <w:sz w:val="17"/>
          <w:szCs w:val="17"/>
          <w:color w:val="auto"/>
        </w:rPr>
        <w:t>patents. In addition, we counterclaimed for infringement of our U.S. Patent No. 6,398,548, seeking unspecified monetary damages and injunctive relief. Ormco filed a reply to our counterclaims on March 10, 2003 and asserted counterclaims against us seeking a declaration by the Court of invalidity and non-infringement of U.S. Patent No. 6,398,548. We amended our counterclaim to add Allesee Orthodontic Appliances, Inc. (“AOA”), a wholly-owned subsidiary of Ormco, as a counterdefendant in regard to our counterclaim of infringement of U.S. Patent No. 6,398,548. The Court then permitted Ormco to amend its Complaint and permitted us to amend our counterclaim to add an additional patent each. Ormco filed a first amended complaint for infringement of U.S. Patent No. 6,616,444 on October 15, 2003. On October 27, 2003, we filed an answer to Ormco’s first amended complaint and a counterclaim for invalidity and non-infringement of U.S. Patent No. 6,616,444 and for infringement of U.S. Patent No. 6,554,611.</w:t>
      </w:r>
    </w:p>
    <w:p>
      <w:pPr>
        <w:spacing w:after="0" w:line="70" w:lineRule="exact"/>
        <w:rPr>
          <w:sz w:val="20"/>
          <w:szCs w:val="20"/>
          <w:color w:val="auto"/>
        </w:rPr>
      </w:pPr>
    </w:p>
    <w:p>
      <w:pPr>
        <w:ind w:right="100" w:firstLine="360"/>
        <w:spacing w:after="0" w:line="269" w:lineRule="auto"/>
        <w:rPr>
          <w:sz w:val="20"/>
          <w:szCs w:val="20"/>
          <w:color w:val="auto"/>
        </w:rPr>
      </w:pPr>
      <w:r>
        <w:rPr>
          <w:rFonts w:ascii="Arial" w:cs="Arial" w:eastAsia="Arial" w:hAnsi="Arial"/>
          <w:sz w:val="17"/>
          <w:szCs w:val="17"/>
          <w:color w:val="auto"/>
        </w:rPr>
        <w:t>In connection with these claims, the Court granted five motions for summary judgment that we filed. First, on May 14, 2004, the Court granted our motion for summary judgment of non-infringement, finding that our Invisalign system does not infringe any of the asserted Ormco patents (5,477,432, 5,683,243, 6,244,861 and 6,616,644). Second, on July 2, 2004, the Court granted in part our motion for summary judgment of infringement, finding that Ormco and AOA infringe certain, but not all, claims of our patents Nos. 6,398,548 and 6,554,611 through the manufacture and sale of Red, White &amp; Blue appliances. Third, on August 26, 2004, the Court granted our motion for summary judgment of invalidity of Ormco’s asserted patents claims (5,477,432, 5,683,243, 6,244,861 and 6,616,644). As noted above, the Court earlier found that we do not infringe these patents. In addition, the Court also denied Ormco’s and AOA’s motion for summary judgment seeking a finding of invalidity of our asserted patent claims (6,398,548 and 6,554,611). Fourth, the Court granted our summary judgment motion that our asserted patent claims are not invalid based on the evidence currently before the Court. Although the Court granted that motion, it reopened discovery on two additional invalidity arguments Ormco and AOA asserted. Fifth, the Court also granted our summary judgment motion that our patents are not unenforceable and granted Ormco’s and AOA’s summary judgment motion that Ormco and AOA did not willfully infringe our patents.</w:t>
      </w:r>
    </w:p>
    <w:p>
      <w:pPr>
        <w:spacing w:after="0" w:line="7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On December 20, 2004, we filed a further summary judgment motion that our asserted claims are not invalid based on Ormco’s and AOA’s new evidence. Ormco and AOA filed a counter-summary judgment motion that our asserted claims are invalid based on this new evidence. The motions were heard by the Court on February 7, 2005. On February 24, 2005, the Court granted our motion in part, confirming the validity of all of the asserted claims of our 6,554,611 patent and two of the asserted claims of our 6,398,548 patent. The Court also granted Ormco’s and AOA’s motion in part, finding certain claims of our 6,398,548 patent to be invalid in view of prior use evidence. On March 10, 2005, Ormco and AOA moved for reconsideration of the Court’s ruling that Claims 10 and 17 of our U.S. Patent No. 6,398,548 are not invalid. On April 8, 2005, the Court ruled that it would adhere to its previous ruling that Claims 10 and 17 of our 6,398,548 patent are not invalid.</w:t>
      </w:r>
    </w:p>
    <w:p>
      <w:pPr>
        <w:spacing w:after="0" w:line="81" w:lineRule="exact"/>
        <w:rPr>
          <w:sz w:val="20"/>
          <w:szCs w:val="20"/>
          <w:color w:val="auto"/>
        </w:rPr>
      </w:pPr>
    </w:p>
    <w:p>
      <w:pPr>
        <w:jc w:val="both"/>
        <w:ind w:right="140" w:firstLine="360"/>
        <w:spacing w:after="0" w:line="259" w:lineRule="auto"/>
        <w:rPr>
          <w:sz w:val="20"/>
          <w:szCs w:val="20"/>
          <w:color w:val="auto"/>
        </w:rPr>
      </w:pPr>
      <w:r>
        <w:rPr>
          <w:rFonts w:ascii="Arial" w:cs="Arial" w:eastAsia="Arial" w:hAnsi="Arial"/>
          <w:sz w:val="18"/>
          <w:szCs w:val="18"/>
          <w:color w:val="auto"/>
        </w:rPr>
        <w:t>On March 28, 2005, we filed a motion for permanent injunction to prevent Ormco and AOA from selling the infringing Red, White &amp; Blue system. On May 26, 2005, the Court issued a permanent injunction (the “Permanent Injunction”) to enjoin Ormco and AOA from further infringement of Claims 10 and 17 of our 6,398,548 patent and Claims 1-3 and 7 of our 6,554,611 patent. On May 31, 2005, Ormco and AOA noticed an appeal to the Federal Circuit from the Permanent Injunction.</w:t>
      </w:r>
    </w:p>
    <w:p>
      <w:pPr>
        <w:spacing w:after="0" w:line="79"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On February 1, 2006, we entered into a settlement agreement (the “Settlement Agreement”) with Ormco and AOA. In accordance with the terms of the Settlement Agreement, Ormco and AOA paid into escrow, pending the completion of the appellate process, $884,000 to resolve the issues of past damages, willfulness and attorneys’ fees for the adjudged infringement of Align’s U.S. Patent Nos. 6,398,548 and 6,554,611 (the “Align Patents”) through the manufacture and sale of Ormco’s and AOA’s Red, White &amp; Blue appliances. Our receipt of the payments out of escrow is contingent upon the Court, in a final, non-appealable judgment, finding that Ormco or AOA infringes at least one of the claims in the Align Patents. If, however, the Court issues a final, non-appealable judgment of non-infringement, invalidity 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unenforceability with respect to each asserted claim of the Align Patents, all funds in the escrow account will be returned to Ormco and AOA. The Settlement Agreement does not affect (a) Ormco’s appeal of the decisions and orders of the District Court relating to Ormco’s patents; or (2) our pending cross-appeal of the orders of the District Court relating to our patents.</w:t>
      </w:r>
    </w:p>
    <w:p>
      <w:pPr>
        <w:spacing w:after="0" w:line="7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There have been two appeals. After the Permanent Injunction was entered, Ormco and AOA appealed that injunction and the orders of the District Court on summary judgment on which that order was based. Oral argument took place on April 3, 2006. Following oral argument, the U.S. Court of Appeals for the Federal Circuit (“CAFC”) issued a ruling declaring two out of a total of seventy-one claims in our US Patent No. 6,398,548 and four out of a total of ten claims in US Patent No. 6,544,611 to be invalid as “obvious.” The CAFC’s decision reverses the California District Court summary judgment order of validity.</w:t>
      </w:r>
    </w:p>
    <w:p>
      <w:pPr>
        <w:spacing w:after="0" w:line="80"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6,398,548 patent consists of seventy-one claims; only claims 10 and 17 were at issue in the appeal and CAFC ruling. These two claims are directed to a system of appliances and method of repositioning teeth from an initial to a final tooth arrangement where at least some of the appliances are marked to show order of use. These claims contain further limitations requiring instructions as to order in which the appliances are to be worn and use of the appliances in intervals of 2-20 days.</w:t>
      </w:r>
    </w:p>
    <w:p>
      <w:pPr>
        <w:spacing w:after="0" w:line="79"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6,544,611 patent consists of ten claims directed to a system for repositioning teeth that includes one or more intermediate appliances and a final appliance, provided in a single package, as well as instructions which set forth the order in which the appliances are to be worn. The CAFC’s ruling pertains only to claims 1, 2, 3 and 7 in the patent.</w:t>
      </w:r>
    </w:p>
    <w:p>
      <w:pPr>
        <w:spacing w:after="0" w:line="73"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majority of the claims in the 6,398,548 patent, including claims that address methods of fabricating aligners, digital data sets or computer-generated models to fabricate appliances, are unaffected by the appeal and the CAFC’s ruling. The 6,544,611 patent does not contain claims related to digital data, computer-generated models, or methods of fabrication.</w:t>
      </w:r>
    </w:p>
    <w:p>
      <w:pPr>
        <w:spacing w:after="0" w:line="73"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The second appeal is from the final judgment. Once final judgment was entered, Ormco filed a Notice of Appeal from the final judgment and we filed a notice of cross-appeal. Ormco has appealed the ruling of the District Court that its patents are not infringed by us and that the asserted claims are invalid. We appealed the ruling of the District Court that certain claims of our 6,398,548 patent which were found to be infringed by Ormco’s and AOA’s Red, White &amp; Blue appliances were invalid. Briefing on this appeal and cross-appeal is complete, and oral argument occurred on February 6, 2007.</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Other matters</w:t>
      </w:r>
    </w:p>
    <w:p>
      <w:pPr>
        <w:sectPr>
          <w:pgSz w:w="11900" w:h="16838" w:orient="portrait"/>
          <w:cols w:equalWidth="0" w:num="1">
            <w:col w:w="11420"/>
          </w:cols>
          <w:pgMar w:left="240" w:top="368" w:right="239" w:bottom="0" w:gutter="0" w:footer="0" w:header="0"/>
          <w:type w:val="continuous"/>
        </w:sectPr>
      </w:pPr>
    </w:p>
    <w:bookmarkStart w:id="20" w:name="page21"/>
    <w:bookmarkEnd w:id="20"/>
    <w:p>
      <w:pPr>
        <w:ind w:left="360"/>
        <w:spacing w:after="0"/>
        <w:rPr>
          <w:sz w:val="20"/>
          <w:szCs w:val="20"/>
          <w:color w:val="auto"/>
        </w:rPr>
      </w:pPr>
      <w:r>
        <w:rPr>
          <w:rFonts w:ascii="Arial" w:cs="Arial" w:eastAsia="Arial" w:hAnsi="Arial"/>
          <w:sz w:val="18"/>
          <w:szCs w:val="18"/>
          <w:b w:val="1"/>
          <w:bCs w:val="1"/>
          <w:u w:val="single" w:color="auto"/>
          <w:color w:val="auto"/>
        </w:rPr>
        <w:t>USPTO</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 Parte Requests:</w:t>
      </w:r>
    </w:p>
    <w:p>
      <w:pPr>
        <w:spacing w:after="0" w:line="121"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During fiscal 2005 and 2006, requests were filed with the United States Patent and Trademark Office (“USPTO”) by a San Francisco, California, law firm, acting on behalf of an unnamed party, requesting Ex Parte re-examination of our patents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U.S. Patent</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Request for</w:t>
            </w: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Initial Office</w:t>
            </w:r>
          </w:p>
        </w:tc>
        <w:tc>
          <w:tcPr>
            <w:tcW w:w="6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80" w:type="dxa"/>
            <w:vAlign w:val="bottom"/>
            <w:gridSpan w:val="2"/>
            <w:vMerge w:val="continue"/>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Reexamination</w:t>
            </w:r>
          </w:p>
        </w:tc>
        <w:tc>
          <w:tcPr>
            <w:tcW w:w="1580" w:type="dxa"/>
            <w:vAlign w:val="bottom"/>
            <w:gridSpan w:val="2"/>
          </w:tcPr>
          <w:p>
            <w:pPr>
              <w:ind w:left="400"/>
              <w:spacing w:after="0" w:line="135" w:lineRule="exact"/>
              <w:rPr>
                <w:sz w:val="20"/>
                <w:szCs w:val="20"/>
                <w:color w:val="auto"/>
              </w:rPr>
            </w:pPr>
            <w:r>
              <w:rPr>
                <w:rFonts w:ascii="Arial" w:cs="Arial" w:eastAsia="Arial" w:hAnsi="Arial"/>
                <w:sz w:val="14"/>
                <w:szCs w:val="14"/>
                <w:b w:val="1"/>
                <w:bCs w:val="1"/>
                <w:color w:val="auto"/>
              </w:rPr>
              <w:t>Actions</w:t>
            </w:r>
          </w:p>
        </w:tc>
        <w:tc>
          <w:tcPr>
            <w:tcW w:w="6720" w:type="dxa"/>
            <w:vAlign w:val="bottom"/>
            <w:vMerge w:val="restart"/>
          </w:tcPr>
          <w:p>
            <w:pPr>
              <w:ind w:left="31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62"/>
        </w:trPr>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No.</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Granted?</w:t>
            </w: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Received?</w:t>
            </w:r>
          </w:p>
        </w:tc>
        <w:tc>
          <w:tcPr>
            <w:tcW w:w="6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tcBorders>
              <w:top w:val="single" w:sz="8" w:color="auto"/>
            </w:tcBorders>
            <w:shd w:val="clear" w:color="auto" w:fill="CCEEFF"/>
          </w:tcPr>
          <w:p>
            <w:pPr>
              <w:jc w:val="right"/>
              <w:ind w:right="375"/>
              <w:spacing w:after="0" w:line="195" w:lineRule="exact"/>
              <w:rPr>
                <w:sz w:val="20"/>
                <w:szCs w:val="20"/>
                <w:color w:val="auto"/>
              </w:rPr>
            </w:pPr>
            <w:r>
              <w:rPr>
                <w:rFonts w:ascii="Arial" w:cs="Arial" w:eastAsia="Arial" w:hAnsi="Arial"/>
                <w:sz w:val="18"/>
                <w:szCs w:val="18"/>
                <w:color w:val="auto"/>
                <w:w w:val="87"/>
              </w:rPr>
              <w:t>5,975,893</w:t>
            </w: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ind w:left="440"/>
              <w:spacing w:after="0" w:line="195" w:lineRule="exact"/>
              <w:rPr>
                <w:sz w:val="20"/>
                <w:szCs w:val="20"/>
                <w:color w:val="auto"/>
              </w:rPr>
            </w:pPr>
            <w:r>
              <w:rPr>
                <w:rFonts w:ascii="Arial" w:cs="Arial" w:eastAsia="Arial" w:hAnsi="Arial"/>
                <w:sz w:val="18"/>
                <w:szCs w:val="18"/>
                <w:color w:val="auto"/>
              </w:rPr>
              <w:t>Yes</w:t>
            </w:r>
          </w:p>
        </w:tc>
        <w:tc>
          <w:tcPr>
            <w:tcW w:w="28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400"/>
              <w:spacing w:after="0" w:line="195" w:lineRule="exact"/>
              <w:rPr>
                <w:sz w:val="20"/>
                <w:szCs w:val="20"/>
                <w:color w:val="auto"/>
              </w:rPr>
            </w:pPr>
            <w:r>
              <w:rPr>
                <w:rFonts w:ascii="Arial" w:cs="Arial" w:eastAsia="Arial" w:hAnsi="Arial"/>
                <w:sz w:val="18"/>
                <w:szCs w:val="18"/>
                <w:color w:val="auto"/>
              </w:rPr>
              <w:t>Yes</w:t>
            </w:r>
          </w:p>
        </w:tc>
        <w:tc>
          <w:tcPr>
            <w:tcW w:w="300" w:type="dxa"/>
            <w:vAlign w:val="bottom"/>
            <w:tcBorders>
              <w:top w:val="single" w:sz="8" w:color="CCEEFF"/>
            </w:tcBorders>
            <w:shd w:val="clear" w:color="auto" w:fill="CCEEFF"/>
          </w:tcPr>
          <w:p>
            <w:pPr>
              <w:spacing w:after="0"/>
              <w:rPr>
                <w:sz w:val="16"/>
                <w:szCs w:val="16"/>
                <w:color w:val="auto"/>
              </w:rPr>
            </w:pPr>
          </w:p>
        </w:tc>
        <w:tc>
          <w:tcPr>
            <w:tcW w:w="6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On January 26, 2006, a first office action was issued rejecting all claims of U.S. Patent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6"/>
              </w:rPr>
              <w:t>No. 5,975,893 (the ‘893 patent). We responded to this initial office action. A Final Office</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3"/>
              </w:rPr>
              <w:t>Action was issued by the USPTO on June 23, 2006 rejecting the pending claims of Align’s</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7"/>
              </w:rPr>
              <w:t>response. On August 23, 2006, we filed an amendment in response to this Final Office</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Action, which included claims discussed in an interview with the Examiners. We are</w:t>
            </w: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awaiting further action by the USPTO.</w:t>
            </w:r>
          </w:p>
        </w:tc>
        <w:tc>
          <w:tcPr>
            <w:tcW w:w="0" w:type="dxa"/>
            <w:vAlign w:val="bottom"/>
          </w:tcPr>
          <w:p>
            <w:pPr>
              <w:spacing w:after="0"/>
              <w:rPr>
                <w:sz w:val="1"/>
                <w:szCs w:val="1"/>
                <w:color w:val="auto"/>
              </w:rPr>
            </w:pPr>
          </w:p>
        </w:tc>
      </w:tr>
      <w:tr>
        <w:trPr>
          <w:trHeight w:val="324"/>
        </w:trPr>
        <w:tc>
          <w:tcPr>
            <w:tcW w:w="1180" w:type="dxa"/>
            <w:vAlign w:val="bottom"/>
          </w:tcPr>
          <w:p>
            <w:pPr>
              <w:jc w:val="right"/>
              <w:ind w:right="375"/>
              <w:spacing w:after="0"/>
              <w:rPr>
                <w:sz w:val="20"/>
                <w:szCs w:val="20"/>
                <w:color w:val="auto"/>
              </w:rPr>
            </w:pPr>
            <w:r>
              <w:rPr>
                <w:rFonts w:ascii="Arial" w:cs="Arial" w:eastAsia="Arial" w:hAnsi="Arial"/>
                <w:sz w:val="18"/>
                <w:szCs w:val="18"/>
                <w:color w:val="auto"/>
                <w:w w:val="87"/>
              </w:rPr>
              <w:t>6,398,548</w:t>
            </w:r>
          </w:p>
        </w:tc>
        <w:tc>
          <w:tcPr>
            <w:tcW w:w="300" w:type="dxa"/>
            <w:vAlign w:val="bottom"/>
          </w:tcPr>
          <w:p>
            <w:pPr>
              <w:spacing w:after="0"/>
              <w:rPr>
                <w:sz w:val="24"/>
                <w:szCs w:val="24"/>
                <w:color w:val="auto"/>
              </w:rPr>
            </w:pP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Yes</w:t>
            </w:r>
          </w:p>
        </w:tc>
        <w:tc>
          <w:tcPr>
            <w:tcW w:w="1580" w:type="dxa"/>
            <w:vAlign w:val="bottom"/>
            <w:gridSpan w:val="2"/>
          </w:tcPr>
          <w:p>
            <w:pPr>
              <w:ind w:left="400"/>
              <w:spacing w:after="0"/>
              <w:rPr>
                <w:sz w:val="20"/>
                <w:szCs w:val="20"/>
                <w:color w:val="auto"/>
              </w:rPr>
            </w:pPr>
            <w:r>
              <w:rPr>
                <w:rFonts w:ascii="Arial" w:cs="Arial" w:eastAsia="Arial" w:hAnsi="Arial"/>
                <w:sz w:val="18"/>
                <w:szCs w:val="18"/>
                <w:color w:val="auto"/>
              </w:rPr>
              <w:t>No</w:t>
            </w:r>
          </w:p>
        </w:tc>
        <w:tc>
          <w:tcPr>
            <w:tcW w:w="6720" w:type="dxa"/>
            <w:vAlign w:val="bottom"/>
          </w:tcPr>
          <w:p>
            <w:pPr>
              <w:spacing w:after="0"/>
              <w:rPr>
                <w:sz w:val="20"/>
                <w:szCs w:val="20"/>
                <w:color w:val="auto"/>
              </w:rPr>
            </w:pPr>
            <w:r>
              <w:rPr>
                <w:rFonts w:ascii="Arial" w:cs="Arial" w:eastAsia="Arial" w:hAnsi="Arial"/>
                <w:sz w:val="18"/>
                <w:szCs w:val="18"/>
                <w:color w:val="auto"/>
                <w:w w:val="92"/>
              </w:rPr>
              <w:t>We filed a preliminary amendment on July 16, 2006. We are awaiting an initial office action.</w:t>
            </w:r>
          </w:p>
        </w:tc>
        <w:tc>
          <w:tcPr>
            <w:tcW w:w="0" w:type="dxa"/>
            <w:vAlign w:val="bottom"/>
          </w:tcPr>
          <w:p>
            <w:pPr>
              <w:spacing w:after="0"/>
              <w:rPr>
                <w:sz w:val="1"/>
                <w:szCs w:val="1"/>
                <w:color w:val="auto"/>
              </w:rPr>
            </w:pPr>
          </w:p>
        </w:tc>
      </w:tr>
      <w:tr>
        <w:trPr>
          <w:trHeight w:val="310"/>
        </w:trPr>
        <w:tc>
          <w:tcPr>
            <w:tcW w:w="118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w w:val="87"/>
              </w:rPr>
              <w:t>6,309,215</w:t>
            </w:r>
          </w:p>
        </w:tc>
        <w:tc>
          <w:tcPr>
            <w:tcW w:w="30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Yes</w:t>
            </w: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2"/>
              </w:rPr>
              <w:t>On July 27, 2006, after submitting amendments, affidavits, declarations or other documents</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7"/>
              </w:rPr>
              <w:t>as evidence of patentability, we received an action entitled “Notice of Intent to Issue Ex</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Parte Reexamination Certificate” with respect to U.S. Patent No. 6,309,215 (the ‘215</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1"/>
              </w:rPr>
              <w:t>patent). With this Notice, the USPTO has closed prosecution on the merits in reexamination</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and affirmed the patentability of all of our claims pending in reexamination in the ‘215</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6"/>
              </w:rPr>
              <w:t>patent. While the ‘215 patent entered the reexamination proceedings with 16 claims, 26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6"/>
              </w:rPr>
              <w:t>additional claims were added in the reexamination by us and the ‘215 patent leaves the</w:t>
            </w: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proceedings as a valid and enforceable patent with 42 claims.</w:t>
            </w:r>
          </w:p>
        </w:tc>
        <w:tc>
          <w:tcPr>
            <w:tcW w:w="0" w:type="dxa"/>
            <w:vAlign w:val="bottom"/>
          </w:tcPr>
          <w:p>
            <w:pPr>
              <w:spacing w:after="0"/>
              <w:rPr>
                <w:sz w:val="1"/>
                <w:szCs w:val="1"/>
                <w:color w:val="auto"/>
              </w:rPr>
            </w:pPr>
          </w:p>
        </w:tc>
      </w:tr>
      <w:tr>
        <w:trPr>
          <w:trHeight w:val="324"/>
        </w:trPr>
        <w:tc>
          <w:tcPr>
            <w:tcW w:w="1180" w:type="dxa"/>
            <w:vAlign w:val="bottom"/>
          </w:tcPr>
          <w:p>
            <w:pPr>
              <w:jc w:val="right"/>
              <w:ind w:right="375"/>
              <w:spacing w:after="0"/>
              <w:rPr>
                <w:sz w:val="20"/>
                <w:szCs w:val="20"/>
                <w:color w:val="auto"/>
              </w:rPr>
            </w:pPr>
            <w:r>
              <w:rPr>
                <w:rFonts w:ascii="Arial" w:cs="Arial" w:eastAsia="Arial" w:hAnsi="Arial"/>
                <w:sz w:val="18"/>
                <w:szCs w:val="18"/>
                <w:color w:val="auto"/>
                <w:w w:val="87"/>
              </w:rPr>
              <w:t>6,705,863</w:t>
            </w:r>
          </w:p>
        </w:tc>
        <w:tc>
          <w:tcPr>
            <w:tcW w:w="300" w:type="dxa"/>
            <w:vAlign w:val="bottom"/>
          </w:tcPr>
          <w:p>
            <w:pPr>
              <w:spacing w:after="0"/>
              <w:rPr>
                <w:sz w:val="24"/>
                <w:szCs w:val="24"/>
                <w:color w:val="auto"/>
              </w:rPr>
            </w:pP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Yes</w:t>
            </w:r>
          </w:p>
        </w:tc>
        <w:tc>
          <w:tcPr>
            <w:tcW w:w="1580" w:type="dxa"/>
            <w:vAlign w:val="bottom"/>
            <w:gridSpan w:val="2"/>
          </w:tcPr>
          <w:p>
            <w:pPr>
              <w:ind w:left="400"/>
              <w:spacing w:after="0"/>
              <w:rPr>
                <w:sz w:val="20"/>
                <w:szCs w:val="20"/>
                <w:color w:val="auto"/>
              </w:rPr>
            </w:pPr>
            <w:r>
              <w:rPr>
                <w:rFonts w:ascii="Arial" w:cs="Arial" w:eastAsia="Arial" w:hAnsi="Arial"/>
                <w:sz w:val="18"/>
                <w:szCs w:val="18"/>
                <w:color w:val="auto"/>
              </w:rPr>
              <w:t>No</w:t>
            </w:r>
          </w:p>
        </w:tc>
        <w:tc>
          <w:tcPr>
            <w:tcW w:w="6720" w:type="dxa"/>
            <w:vAlign w:val="bottom"/>
          </w:tcPr>
          <w:p>
            <w:pPr>
              <w:spacing w:after="0"/>
              <w:rPr>
                <w:sz w:val="20"/>
                <w:szCs w:val="20"/>
                <w:color w:val="auto"/>
              </w:rPr>
            </w:pPr>
            <w:r>
              <w:rPr>
                <w:rFonts w:ascii="Arial" w:cs="Arial" w:eastAsia="Arial" w:hAnsi="Arial"/>
                <w:sz w:val="18"/>
                <w:szCs w:val="18"/>
                <w:color w:val="auto"/>
                <w:w w:val="91"/>
              </w:rPr>
              <w:t>We filed a preliminary amendment on May 26, 2006. We are awaiting an initial office action.</w:t>
            </w:r>
          </w:p>
        </w:tc>
        <w:tc>
          <w:tcPr>
            <w:tcW w:w="0" w:type="dxa"/>
            <w:vAlign w:val="bottom"/>
          </w:tcPr>
          <w:p>
            <w:pPr>
              <w:spacing w:after="0"/>
              <w:rPr>
                <w:sz w:val="1"/>
                <w:szCs w:val="1"/>
                <w:color w:val="auto"/>
              </w:rPr>
            </w:pPr>
          </w:p>
        </w:tc>
      </w:tr>
      <w:tr>
        <w:trPr>
          <w:trHeight w:val="310"/>
        </w:trPr>
        <w:tc>
          <w:tcPr>
            <w:tcW w:w="1180" w:type="dxa"/>
            <w:vAlign w:val="bottom"/>
          </w:tcPr>
          <w:p>
            <w:pPr>
              <w:jc w:val="right"/>
              <w:ind w:right="375"/>
              <w:spacing w:after="0"/>
              <w:rPr>
                <w:sz w:val="20"/>
                <w:szCs w:val="20"/>
                <w:color w:val="auto"/>
              </w:rPr>
            </w:pPr>
            <w:r>
              <w:rPr>
                <w:rFonts w:ascii="Arial" w:cs="Arial" w:eastAsia="Arial" w:hAnsi="Arial"/>
                <w:sz w:val="18"/>
                <w:szCs w:val="18"/>
                <w:color w:val="auto"/>
                <w:w w:val="87"/>
              </w:rPr>
              <w:t>6,217,325</w:t>
            </w:r>
          </w:p>
        </w:tc>
        <w:tc>
          <w:tcPr>
            <w:tcW w:w="300" w:type="dxa"/>
            <w:vAlign w:val="bottom"/>
          </w:tcPr>
          <w:p>
            <w:pPr>
              <w:spacing w:after="0"/>
              <w:rPr>
                <w:sz w:val="24"/>
                <w:szCs w:val="24"/>
                <w:color w:val="auto"/>
              </w:rPr>
            </w:pP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Yes</w:t>
            </w:r>
          </w:p>
        </w:tc>
        <w:tc>
          <w:tcPr>
            <w:tcW w:w="1580" w:type="dxa"/>
            <w:vAlign w:val="bottom"/>
            <w:gridSpan w:val="2"/>
          </w:tcPr>
          <w:p>
            <w:pPr>
              <w:ind w:left="400"/>
              <w:spacing w:after="0"/>
              <w:rPr>
                <w:sz w:val="20"/>
                <w:szCs w:val="20"/>
                <w:color w:val="auto"/>
              </w:rPr>
            </w:pPr>
            <w:r>
              <w:rPr>
                <w:rFonts w:ascii="Arial" w:cs="Arial" w:eastAsia="Arial" w:hAnsi="Arial"/>
                <w:sz w:val="18"/>
                <w:szCs w:val="18"/>
                <w:color w:val="auto"/>
              </w:rPr>
              <w:t>Yes</w:t>
            </w:r>
          </w:p>
        </w:tc>
        <w:tc>
          <w:tcPr>
            <w:tcW w:w="6720" w:type="dxa"/>
            <w:vAlign w:val="bottom"/>
          </w:tcPr>
          <w:p>
            <w:pPr>
              <w:spacing w:after="0"/>
              <w:rPr>
                <w:sz w:val="20"/>
                <w:szCs w:val="20"/>
                <w:color w:val="auto"/>
              </w:rPr>
            </w:pPr>
            <w:r>
              <w:rPr>
                <w:rFonts w:ascii="Arial" w:cs="Arial" w:eastAsia="Arial" w:hAnsi="Arial"/>
                <w:sz w:val="18"/>
                <w:szCs w:val="18"/>
                <w:color w:val="auto"/>
                <w:w w:val="98"/>
              </w:rPr>
              <w:t>On July 25, 2006, we received an Office Action in U.S. Patent No. 6,217,325 (the ‘325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patent) confirming the patentability of 32 claims. While the ‘325 patent entered the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5"/>
              </w:rPr>
              <w:t>reexamination proceedings with 26 claims, 15 additional claims were added by us in the</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6"/>
              </w:rPr>
              <w:t>reexamination. On September 25, 2006, we filed an amendment in response to the final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892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92175"/>
                    </a:xfrm>
                    <a:prstGeom prst="rect">
                      <a:avLst/>
                    </a:prstGeom>
                    <a:noFill/>
                  </pic:spPr>
                </pic:pic>
              </a:graphicData>
            </a:graphic>
          </wp:anchor>
        </w:drawing>
      </w:r>
    </w:p>
    <w:p>
      <w:pPr>
        <w:ind w:left="4700" w:right="460"/>
        <w:spacing w:after="0" w:line="261" w:lineRule="auto"/>
        <w:rPr>
          <w:sz w:val="20"/>
          <w:szCs w:val="20"/>
          <w:color w:val="auto"/>
        </w:rPr>
      </w:pPr>
      <w:r>
        <w:rPr>
          <w:rFonts w:ascii="Arial" w:cs="Arial" w:eastAsia="Arial" w:hAnsi="Arial"/>
          <w:sz w:val="18"/>
          <w:szCs w:val="18"/>
          <w:color w:val="auto"/>
        </w:rPr>
        <w:t>Office Action with respect to the claims that were not allowed. We are awaiting further action by the USPTO.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3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7"/>
              </w:rPr>
              <w:t>6,722,880</w:t>
            </w:r>
          </w:p>
        </w:tc>
        <w:tc>
          <w:tcPr>
            <w:tcW w:w="1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w:t>
            </w:r>
          </w:p>
        </w:tc>
        <w:tc>
          <w:tcPr>
            <w:tcW w:w="1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On December 23, 2005, in a non-appealable, final Order, the USPTO denied the request for</w:t>
            </w:r>
          </w:p>
        </w:tc>
      </w:tr>
      <w:tr>
        <w:trPr>
          <w:trHeight w:val="216"/>
        </w:trPr>
        <w:tc>
          <w:tcPr>
            <w:tcW w:w="1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re-examination with respect to all twenty-one claims of U.S. Patent No. 6,722,880 (the ‘880</w:t>
            </w:r>
          </w:p>
        </w:tc>
      </w:tr>
      <w:tr>
        <w:trPr>
          <w:trHeight w:val="216"/>
        </w:trPr>
        <w:tc>
          <w:tcPr>
            <w:tcW w:w="1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 Accordingly, the validity of all twenty-one claims of the ‘880 patent stand</w:t>
            </w:r>
          </w:p>
        </w:tc>
      </w:tr>
      <w:tr>
        <w:trPr>
          <w:trHeight w:val="216"/>
        </w:trPr>
        <w:tc>
          <w:tcPr>
            <w:tcW w:w="1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reaffirmed by the USPTO. On January 23, 2006, a Petition Seeking Review of Denial of</w:t>
            </w:r>
          </w:p>
        </w:tc>
      </w:tr>
      <w:tr>
        <w:trPr>
          <w:trHeight w:val="216"/>
        </w:trPr>
        <w:tc>
          <w:tcPr>
            <w:tcW w:w="1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Request for Re-examination of the ‘880 patent was filed by the same San Francisco,</w:t>
            </w:r>
          </w:p>
        </w:tc>
      </w:tr>
      <w:tr>
        <w:trPr>
          <w:trHeight w:val="230"/>
        </w:trPr>
        <w:tc>
          <w:tcPr>
            <w:tcW w:w="13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California law firm.</w:t>
            </w:r>
          </w:p>
        </w:tc>
      </w:tr>
      <w:tr>
        <w:trPr>
          <w:trHeight w:val="310"/>
        </w:trPr>
        <w:tc>
          <w:tcPr>
            <w:tcW w:w="1320" w:type="dxa"/>
            <w:vAlign w:val="bottom"/>
          </w:tcPr>
          <w:p>
            <w:pPr>
              <w:jc w:val="right"/>
              <w:ind w:right="510"/>
              <w:spacing w:after="0"/>
              <w:rPr>
                <w:sz w:val="20"/>
                <w:szCs w:val="20"/>
                <w:color w:val="auto"/>
              </w:rPr>
            </w:pPr>
            <w:r>
              <w:rPr>
                <w:rFonts w:ascii="Arial" w:cs="Arial" w:eastAsia="Arial" w:hAnsi="Arial"/>
                <w:sz w:val="18"/>
                <w:szCs w:val="18"/>
                <w:color w:val="auto"/>
                <w:w w:val="87"/>
              </w:rPr>
              <w:t>6,318,994</w:t>
            </w:r>
          </w:p>
        </w:tc>
        <w:tc>
          <w:tcPr>
            <w:tcW w:w="1540" w:type="dxa"/>
            <w:vAlign w:val="bottom"/>
          </w:tcPr>
          <w:p>
            <w:pPr>
              <w:ind w:left="600"/>
              <w:spacing w:after="0"/>
              <w:rPr>
                <w:sz w:val="20"/>
                <w:szCs w:val="20"/>
                <w:color w:val="auto"/>
              </w:rPr>
            </w:pPr>
            <w:r>
              <w:rPr>
                <w:rFonts w:ascii="Arial" w:cs="Arial" w:eastAsia="Arial" w:hAnsi="Arial"/>
                <w:sz w:val="18"/>
                <w:szCs w:val="18"/>
                <w:color w:val="auto"/>
              </w:rPr>
              <w:t>Yes</w:t>
            </w:r>
          </w:p>
        </w:tc>
        <w:tc>
          <w:tcPr>
            <w:tcW w:w="1400" w:type="dxa"/>
            <w:vAlign w:val="bottom"/>
          </w:tcPr>
          <w:p>
            <w:pPr>
              <w:ind w:left="660"/>
              <w:spacing w:after="0"/>
              <w:rPr>
                <w:sz w:val="20"/>
                <w:szCs w:val="20"/>
                <w:color w:val="auto"/>
              </w:rPr>
            </w:pPr>
            <w:r>
              <w:rPr>
                <w:rFonts w:ascii="Arial" w:cs="Arial" w:eastAsia="Arial" w:hAnsi="Arial"/>
                <w:sz w:val="18"/>
                <w:szCs w:val="18"/>
                <w:color w:val="auto"/>
              </w:rPr>
              <w:t>No</w:t>
            </w:r>
          </w:p>
        </w:tc>
        <w:tc>
          <w:tcPr>
            <w:tcW w:w="7160" w:type="dxa"/>
            <w:vAlign w:val="bottom"/>
          </w:tcPr>
          <w:p>
            <w:pPr>
              <w:ind w:left="440"/>
              <w:spacing w:after="0"/>
              <w:rPr>
                <w:sz w:val="20"/>
                <w:szCs w:val="20"/>
                <w:color w:val="auto"/>
              </w:rPr>
            </w:pPr>
            <w:r>
              <w:rPr>
                <w:rFonts w:ascii="Arial" w:cs="Arial" w:eastAsia="Arial" w:hAnsi="Arial"/>
                <w:sz w:val="18"/>
                <w:szCs w:val="18"/>
                <w:color w:val="auto"/>
                <w:w w:val="89"/>
              </w:rPr>
              <w:t>The USPTO has granted the requests for reexamination of the U.S. Patent No. 6,318,994. We</w:t>
            </w:r>
          </w:p>
        </w:tc>
      </w:tr>
      <w:tr>
        <w:trPr>
          <w:trHeight w:val="230"/>
        </w:trPr>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160" w:type="dxa"/>
            <w:vAlign w:val="bottom"/>
          </w:tcPr>
          <w:p>
            <w:pPr>
              <w:ind w:left="440"/>
              <w:spacing w:after="0"/>
              <w:rPr>
                <w:sz w:val="20"/>
                <w:szCs w:val="20"/>
                <w:color w:val="auto"/>
              </w:rPr>
            </w:pPr>
            <w:r>
              <w:rPr>
                <w:rFonts w:ascii="Arial" w:cs="Arial" w:eastAsia="Arial" w:hAnsi="Arial"/>
                <w:sz w:val="18"/>
                <w:szCs w:val="18"/>
                <w:color w:val="auto"/>
              </w:rPr>
              <w:t>are awaiting an initial Office Action.</w:t>
            </w:r>
          </w:p>
        </w:tc>
      </w:tr>
    </w:tbl>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Inter Parte Requests made by OrthoClear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part of the OrthoClear Agreement, OrthoClear agreed to take no further action with respect to the Inter Parte Requests.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Request for</w:t>
            </w: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Initial Office</w:t>
            </w:r>
          </w:p>
        </w:tc>
        <w:tc>
          <w:tcPr>
            <w:tcW w:w="6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Patent No.</w:t>
            </w:r>
          </w:p>
        </w:tc>
        <w:tc>
          <w:tcPr>
            <w:tcW w:w="1700" w:type="dxa"/>
            <w:vAlign w:val="bottom"/>
            <w:gridSpan w:val="2"/>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Reexamination</w:t>
            </w:r>
          </w:p>
        </w:tc>
        <w:tc>
          <w:tcPr>
            <w:tcW w:w="1660" w:type="dxa"/>
            <w:vAlign w:val="bottom"/>
            <w:gridSpan w:val="2"/>
          </w:tcPr>
          <w:p>
            <w:pPr>
              <w:ind w:left="460"/>
              <w:spacing w:after="0" w:line="122" w:lineRule="exact"/>
              <w:rPr>
                <w:sz w:val="20"/>
                <w:szCs w:val="20"/>
                <w:color w:val="auto"/>
              </w:rPr>
            </w:pPr>
            <w:r>
              <w:rPr>
                <w:rFonts w:ascii="Arial" w:cs="Arial" w:eastAsia="Arial" w:hAnsi="Arial"/>
                <w:sz w:val="14"/>
                <w:szCs w:val="14"/>
                <w:b w:val="1"/>
                <w:bCs w:val="1"/>
                <w:color w:val="auto"/>
              </w:rPr>
              <w:t>Actions</w:t>
            </w:r>
          </w:p>
        </w:tc>
        <w:tc>
          <w:tcPr>
            <w:tcW w:w="6720" w:type="dxa"/>
            <w:vAlign w:val="bottom"/>
            <w:vMerge w:val="restart"/>
          </w:tcPr>
          <w:p>
            <w:pPr>
              <w:ind w:left="31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62"/>
        </w:trPr>
        <w:tc>
          <w:tcPr>
            <w:tcW w:w="1340" w:type="dxa"/>
            <w:vAlign w:val="bottom"/>
            <w:gridSpan w:val="2"/>
            <w:vMerge w:val="continue"/>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Granted?</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Received?</w:t>
            </w:r>
          </w:p>
        </w:tc>
        <w:tc>
          <w:tcPr>
            <w:tcW w:w="6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Borders>
              <w:top w:val="single" w:sz="8" w:color="auto"/>
            </w:tcBorders>
            <w:shd w:val="clear" w:color="auto" w:fill="CCEEFF"/>
          </w:tcPr>
          <w:p>
            <w:pPr>
              <w:jc w:val="right"/>
              <w:ind w:right="236"/>
              <w:spacing w:after="0" w:line="195" w:lineRule="exact"/>
              <w:rPr>
                <w:sz w:val="20"/>
                <w:szCs w:val="20"/>
                <w:color w:val="auto"/>
              </w:rPr>
            </w:pPr>
            <w:r>
              <w:rPr>
                <w:rFonts w:ascii="Arial" w:cs="Arial" w:eastAsia="Arial" w:hAnsi="Arial"/>
                <w:sz w:val="18"/>
                <w:szCs w:val="18"/>
                <w:color w:val="auto"/>
                <w:w w:val="87"/>
              </w:rPr>
              <w:t>6,629,840</w:t>
            </w:r>
          </w:p>
        </w:tc>
        <w:tc>
          <w:tcPr>
            <w:tcW w:w="3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ind w:left="480"/>
              <w:spacing w:after="0" w:line="195" w:lineRule="exact"/>
              <w:rPr>
                <w:sz w:val="20"/>
                <w:szCs w:val="20"/>
                <w:color w:val="auto"/>
              </w:rPr>
            </w:pPr>
            <w:r>
              <w:rPr>
                <w:rFonts w:ascii="Arial" w:cs="Arial" w:eastAsia="Arial" w:hAnsi="Arial"/>
                <w:sz w:val="18"/>
                <w:szCs w:val="18"/>
                <w:color w:val="auto"/>
              </w:rPr>
              <w:t>Yes</w:t>
            </w:r>
          </w:p>
        </w:tc>
        <w:tc>
          <w:tcPr>
            <w:tcW w:w="3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ind w:left="440"/>
              <w:spacing w:after="0" w:line="195" w:lineRule="exact"/>
              <w:rPr>
                <w:sz w:val="20"/>
                <w:szCs w:val="20"/>
                <w:color w:val="auto"/>
              </w:rPr>
            </w:pPr>
            <w:r>
              <w:rPr>
                <w:rFonts w:ascii="Arial" w:cs="Arial" w:eastAsia="Arial" w:hAnsi="Arial"/>
                <w:sz w:val="18"/>
                <w:szCs w:val="18"/>
                <w:color w:val="auto"/>
              </w:rPr>
              <w:t>Yes</w:t>
            </w:r>
          </w:p>
        </w:tc>
        <w:tc>
          <w:tcPr>
            <w:tcW w:w="280" w:type="dxa"/>
            <w:vAlign w:val="bottom"/>
            <w:tcBorders>
              <w:top w:val="single" w:sz="8" w:color="CCEEFF"/>
            </w:tcBorders>
            <w:shd w:val="clear" w:color="auto" w:fill="CCEEFF"/>
          </w:tcPr>
          <w:p>
            <w:pPr>
              <w:spacing w:after="0"/>
              <w:rPr>
                <w:sz w:val="16"/>
                <w:szCs w:val="16"/>
                <w:color w:val="auto"/>
              </w:rPr>
            </w:pPr>
          </w:p>
        </w:tc>
        <w:tc>
          <w:tcPr>
            <w:tcW w:w="6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In this initial Office Action dated June 13, 2006, the examiners confirmed the validity of</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0"/>
              </w:rPr>
              <w:t>eight of the eleven claims of U.S. Patent No. 6,629,840 (the ‘840 patent) without amendment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6"/>
              </w:rPr>
              <w:t>and preliminarily rejected the remaining claims of the patents. The non-final initial Office</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Action presented us with the first opportunity to respond to the USPTO’s review and</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interpretation of the prior art. On September 13, 2006, we submitted a response to the initial</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Office Action. We are awaiting further action by the USPTO.</w:t>
            </w:r>
          </w:p>
        </w:tc>
        <w:tc>
          <w:tcPr>
            <w:tcW w:w="0" w:type="dxa"/>
            <w:vAlign w:val="bottom"/>
          </w:tcPr>
          <w:p>
            <w:pPr>
              <w:spacing w:after="0"/>
              <w:rPr>
                <w:sz w:val="1"/>
                <w:szCs w:val="1"/>
                <w:color w:val="auto"/>
              </w:rPr>
            </w:pPr>
          </w:p>
        </w:tc>
      </w:tr>
      <w:tr>
        <w:trPr>
          <w:trHeight w:val="310"/>
        </w:trPr>
        <w:tc>
          <w:tcPr>
            <w:tcW w:w="1040" w:type="dxa"/>
            <w:vAlign w:val="bottom"/>
          </w:tcPr>
          <w:p>
            <w:pPr>
              <w:jc w:val="right"/>
              <w:ind w:right="236"/>
              <w:spacing w:after="0"/>
              <w:rPr>
                <w:sz w:val="20"/>
                <w:szCs w:val="20"/>
                <w:color w:val="auto"/>
              </w:rPr>
            </w:pPr>
            <w:r>
              <w:rPr>
                <w:rFonts w:ascii="Arial" w:cs="Arial" w:eastAsia="Arial" w:hAnsi="Arial"/>
                <w:sz w:val="18"/>
                <w:szCs w:val="18"/>
                <w:color w:val="auto"/>
                <w:w w:val="87"/>
              </w:rPr>
              <w:t>6,685,469</w:t>
            </w:r>
          </w:p>
        </w:tc>
        <w:tc>
          <w:tcPr>
            <w:tcW w:w="300" w:type="dxa"/>
            <w:vAlign w:val="bottom"/>
          </w:tcPr>
          <w:p>
            <w:pPr>
              <w:spacing w:after="0"/>
              <w:rPr>
                <w:sz w:val="24"/>
                <w:szCs w:val="24"/>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No</w:t>
            </w:r>
          </w:p>
        </w:tc>
        <w:tc>
          <w:tcPr>
            <w:tcW w:w="166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6720" w:type="dxa"/>
            <w:vAlign w:val="bottom"/>
          </w:tcPr>
          <w:p>
            <w:pPr>
              <w:spacing w:after="0"/>
              <w:rPr>
                <w:sz w:val="20"/>
                <w:szCs w:val="20"/>
                <w:color w:val="auto"/>
              </w:rPr>
            </w:pPr>
            <w:r>
              <w:rPr>
                <w:rFonts w:ascii="Arial" w:cs="Arial" w:eastAsia="Arial" w:hAnsi="Arial"/>
                <w:sz w:val="18"/>
                <w:szCs w:val="18"/>
                <w:color w:val="auto"/>
                <w:w w:val="98"/>
              </w:rPr>
              <w:t>The USPTO has granted the requests for reexamination of U.S. Patent of U.S. Patent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No. 6,685,469. We are awaiting an initial Office Action.</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 re-examination proceedings on Patent Nos. 6,318,994, 6,398,548, 6,685,469 and 6,705,863 (collectively, the “Remaining Patents”) are currently pending but we have not received an Office Action. We, however, filed Preliminary Amendments adding additional claims regarding two of the Remaining Patents. While the pending re-examinations are in a preliminary stage, we believe that claims of the patents in re-examination will be determined to be patentable as currently written or as may be amended during the re-examination proceeding. However, there can be no assurance that we will prevail, and re-examination proceedings could result in some or all of the Remaining Patent claims (as well as the ‘893, ‘215, ‘325 and ‘840 patent claims) having a narrower scope of coverage or even to being invalidated, which could have an adverse effect on us.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Bay Materials</w:t>
      </w:r>
    </w:p>
    <w:p>
      <w:pPr>
        <w:spacing w:after="0" w:line="117"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On July 25, 2005, Bay Materials, LLC (“Bay”) filed suit against us in the Superior Court of the State of California for the County of San Mateo. The complaint, as amended, asserts, among other things, breach of contract, promissory estoppel and fraud. Bay alleges that we breached the terms of a purchase</w:t>
      </w:r>
    </w:p>
    <w:p>
      <w:pPr>
        <w:sectPr>
          <w:pgSz w:w="11900" w:h="16838" w:orient="portrait"/>
          <w:cols w:equalWidth="0" w:num="1">
            <w:col w:w="11420"/>
          </w:cols>
          <w:pgMar w:left="240" w:top="121" w:right="239" w:bottom="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order by failing to pay for unshipped goods manufactured by Bay pursuant to such order. Bay further alleges that we promised to purchase from Bay an alternative polyurethane product, and Bay relied on this representation to develop such an alternative product which we determined not to use. The complaint seeks monetary damages exceeding $1.1 million related to breach of contract and research and development costs incurred plus unspecified damages related to lost profit, punitive and exemplary damages, and legal costs.</w:t>
      </w:r>
    </w:p>
    <w:p>
      <w:pPr>
        <w:spacing w:after="0" w:line="79"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On March 27, 2006, we filed our answer to Bay’s amended complaint, and also filed our cross-complaint against Bay for breach of contract, breach of implied warranty of fitness, intentional misrepresentation, concealment, specific performance, unjust enrichment and unfair business practices. The cross-complaint seeks monetary damages against Bay exceeding $1.0 million. In the fourth quarter of 2006, the parties agreed to settle their dispute and dismiss all claims and cross-claims against each other in exchange for a one time payment by us to Bay in the amount of $750,000.</w:t>
      </w:r>
    </w:p>
    <w:p>
      <w:pPr>
        <w:spacing w:after="0" w:line="63"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Litigating claims of the types discussed in Note 5 “Legal Proceedings” of the Notes to Consolidated Financial Statements and in Part II, Item 3 “Legal Proceedings” of this Annual Report on Form 10-K, whether or not ultimately determined in our favor or settled by us, is costly and diverts the efforts and attention of our management and technical personnel from normal business operations. Any of these results from litigation could adversely affect our results of operations and stock price. From time to time, we have received, and may again receive, letters from third parties drawing our attention to their patent rights. While we do not believe that we infringe any such rights that have been brought to our attention, there may be other more pertinent proprietary rights of which we are presently unaware.</w:t>
      </w:r>
    </w:p>
    <w:p>
      <w:pPr>
        <w:spacing w:after="0" w:line="18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matters submitted to a vote of security holders during the fourth quarter of fiscal 2006.</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860" w:right="300" w:hanging="845"/>
        <w:spacing w:after="0" w:line="282" w:lineRule="auto"/>
        <w:tabs>
          <w:tab w:leader="none" w:pos="84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Price Range of Common Stock</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Market under the symbol “ALGN.” Public trading of our common stock commenced 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26, 2001. Prior to that date, there was no public market for our common stock. The following table shows, for the periods indicated, the high and 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share closing prices of our common stock, as reported by the NASDAQ Global Market:</w:t>
      </w:r>
    </w:p>
    <w:p>
      <w:pPr>
        <w:spacing w:after="0" w:line="189" w:lineRule="exact"/>
        <w:rPr>
          <w:sz w:val="20"/>
          <w:szCs w:val="20"/>
          <w:color w:val="auto"/>
        </w:rPr>
      </w:pPr>
    </w:p>
    <w:tbl>
      <w:tblPr>
        <w:tblLayout w:type="fixed"/>
        <w:tblInd w:w="22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High</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2006:</w:t>
            </w:r>
          </w:p>
        </w:tc>
        <w:tc>
          <w:tcPr>
            <w:tcW w:w="1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Fourth quarter</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15.03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11.31</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 quarter</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9.52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7.05</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60" w:type="dxa"/>
            <w:vAlign w:val="bottom"/>
            <w:shd w:val="clear" w:color="auto" w:fill="CCEEFF"/>
          </w:tcPr>
          <w:p>
            <w:pPr>
              <w:spacing w:after="0"/>
              <w:rPr>
                <w:sz w:val="18"/>
                <w:szCs w:val="18"/>
                <w:color w:val="auto"/>
              </w:rPr>
            </w:pPr>
          </w:p>
        </w:tc>
      </w:tr>
      <w:tr>
        <w:trPr>
          <w:trHeight w:val="324"/>
        </w:trPr>
        <w:tc>
          <w:tcPr>
            <w:tcW w:w="394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Third quarter</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8.34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6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First Quarter</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10.72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20"/>
                <w:szCs w:val="20"/>
                <w:color w:val="auto"/>
              </w:rPr>
            </w:pPr>
          </w:p>
        </w:tc>
      </w:tr>
    </w:tbl>
    <w:p>
      <w:pPr>
        <w:spacing w:after="0" w:line="241" w:lineRule="exact"/>
        <w:rPr>
          <w:sz w:val="20"/>
          <w:szCs w:val="20"/>
          <w:color w:val="auto"/>
        </w:rPr>
      </w:pPr>
    </w:p>
    <w:p>
      <w:pPr>
        <w:ind w:right="320" w:firstLine="360"/>
        <w:spacing w:after="0" w:line="312" w:lineRule="auto"/>
        <w:rPr>
          <w:sz w:val="20"/>
          <w:szCs w:val="20"/>
          <w:color w:val="auto"/>
        </w:rPr>
      </w:pPr>
      <w:r>
        <w:rPr>
          <w:rFonts w:ascii="Arial" w:cs="Arial" w:eastAsia="Arial" w:hAnsi="Arial"/>
          <w:sz w:val="16"/>
          <w:szCs w:val="16"/>
          <w:color w:val="auto"/>
        </w:rPr>
        <w:t>On March 6, 2007, the closing price of our common stock on the NASDAQ Global Market was $16.40 per share. As of March 6, 2007 there were approximately 228 holders of record of our common stock. Because the majority of our shares of outstanding common stock is held by brokers and other institutions on behalf of stockholders, we are unable to estimate the total number of stockholders represented by these record holders.</w:t>
      </w:r>
    </w:p>
    <w:p>
      <w:pPr>
        <w:spacing w:after="0" w:line="3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 xml:space="preserve">We have never declared or paid any cash dividends on our common stock. We currently intend to retain any future earnings to fund the development and growth of our business and do not anticipate paying any cash dividends in the foreseeable future. Our credit facility contains certain restrictive loan covenants, including restriction on our ability to pay dividends. </w:t>
      </w:r>
      <w:r>
        <w:rPr>
          <w:rFonts w:ascii="Arial" w:cs="Arial" w:eastAsia="Arial" w:hAnsi="Arial"/>
          <w:sz w:val="18"/>
          <w:szCs w:val="18"/>
          <w:i w:val="1"/>
          <w:iCs w:val="1"/>
          <w:color w:val="auto"/>
        </w:rPr>
        <w:t>See Part II, Item 7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Operations—Liquidity and Capital Resources”.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Performance Graph</w:t>
      </w:r>
    </w:p>
    <w:p>
      <w:pPr>
        <w:spacing w:after="0" w:line="117" w:lineRule="exact"/>
        <w:rPr>
          <w:sz w:val="20"/>
          <w:szCs w:val="20"/>
          <w:color w:val="auto"/>
        </w:rPr>
      </w:pPr>
    </w:p>
    <w:p>
      <w:pPr>
        <w:ind w:right="460" w:firstLine="360"/>
        <w:spacing w:after="0" w:line="279" w:lineRule="auto"/>
        <w:rPr>
          <w:sz w:val="20"/>
          <w:szCs w:val="20"/>
          <w:color w:val="auto"/>
        </w:rPr>
      </w:pPr>
      <w:r>
        <w:rPr>
          <w:rFonts w:ascii="Arial" w:cs="Arial" w:eastAsia="Arial" w:hAnsi="Arial"/>
          <w:sz w:val="17"/>
          <w:szCs w:val="17"/>
          <w:i w:val="1"/>
          <w:iCs w:val="1"/>
          <w:color w:val="auto"/>
        </w:rPr>
        <w:t>Notwithstanding any statement to the contrary in any of our previous or future filings with the SEC, the following information relating to the price performance of our common stock shall not be deemed “filed” with the SEC or “Soliciting Material” under the Securities Exchange Act of 1934, as amended, or subject to Regulation 14A or 14C, or to liabilities of Section 18 of the Exchange Act except to the extent we specifically request that such information be treated as soliciting material or to the extent we specifically incorporate this information by reference.</w:t>
      </w:r>
    </w:p>
    <w:p>
      <w:pPr>
        <w:spacing w:after="0" w:line="6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following graph compares the cumulative total stockholder return on our common stock with that of the NASDAQ Stock Market US Index, a broad market index published by the National Association of Securities Dealers, Inc. and a peer group that we believe in good faith is an appropriate basis for comparison since it reflects the labor market in which Align competes. The comparison for each of the periods assumes that $100 was invested on January 1, 2002 in our common stock, the stocks included in The NASDAQ Stock Market US Index and the stocks included the peer group index and that all dividends were reinvested.</w:t>
      </w:r>
    </w:p>
    <w:p>
      <w:pPr>
        <w:sectPr>
          <w:pgSz w:w="11900" w:h="16838" w:orient="portrait"/>
          <w:cols w:equalWidth="0" w:num="1">
            <w:col w:w="11360"/>
          </w:cols>
          <w:pgMar w:left="240" w:top="125" w:right="299" w:bottom="244"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244" w:gutter="0" w:footer="0" w:header="0"/>
          <w:type w:val="continuous"/>
        </w:sectPr>
      </w:pPr>
    </w:p>
    <w:bookmarkStart w:id="22" w:name="page23"/>
    <w:bookmarkEnd w:id="22"/>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Among Align Technology, Inc., The NASDAQ Composite Index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011545" cy="3198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115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 invested on 12/31/01 in stock or index including reinvestment of dividends, Fiscal year ending December 31.</w:t>
      </w:r>
    </w:p>
    <w:p>
      <w:pPr>
        <w:spacing w:after="0" w:line="117"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 companies that comprise our peer group were chosen using the following principles: companies that are close industry competitors (regardless of size); companies that are similar in size as measured by revenue and headcount; medical devices companies, and companies with similar growth potential and include:</w:t>
      </w:r>
    </w:p>
    <w:p>
      <w:pPr>
        <w:spacing w:after="0" w:line="181" w:lineRule="exact"/>
        <w:rPr>
          <w:sz w:val="20"/>
          <w:szCs w:val="20"/>
          <w:color w:val="auto"/>
        </w:rPr>
      </w:pPr>
    </w:p>
    <w:tbl>
      <w:tblPr>
        <w:tblLayout w:type="fixed"/>
        <w:tblInd w:w="272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color w:val="auto"/>
                <w:w w:val="99"/>
              </w:rPr>
              <w:t>American Medical Systems</w:t>
            </w:r>
          </w:p>
        </w:tc>
        <w:tc>
          <w:tcPr>
            <w:tcW w:w="1520" w:type="dxa"/>
            <w:vAlign w:val="bottom"/>
          </w:tcPr>
          <w:p>
            <w:pPr>
              <w:ind w:left="200"/>
              <w:spacing w:after="0"/>
              <w:rPr>
                <w:sz w:val="20"/>
                <w:szCs w:val="20"/>
                <w:color w:val="auto"/>
              </w:rPr>
            </w:pPr>
            <w:r>
              <w:rPr>
                <w:rFonts w:ascii="Arial" w:cs="Arial" w:eastAsia="Arial" w:hAnsi="Arial"/>
                <w:sz w:val="18"/>
                <w:szCs w:val="18"/>
                <w:color w:val="auto"/>
              </w:rPr>
              <w:t>Silicon Image</w:t>
            </w:r>
          </w:p>
        </w:tc>
        <w:tc>
          <w:tcPr>
            <w:tcW w:w="2240" w:type="dxa"/>
            <w:vAlign w:val="bottom"/>
          </w:tcPr>
          <w:p>
            <w:pPr>
              <w:ind w:left="240"/>
              <w:spacing w:after="0"/>
              <w:rPr>
                <w:sz w:val="20"/>
                <w:szCs w:val="20"/>
                <w:color w:val="auto"/>
              </w:rPr>
            </w:pPr>
            <w:r>
              <w:rPr>
                <w:rFonts w:ascii="Arial" w:cs="Arial" w:eastAsia="Arial" w:hAnsi="Arial"/>
                <w:sz w:val="18"/>
                <w:szCs w:val="18"/>
                <w:color w:val="auto"/>
              </w:rPr>
              <w:t>Interwoven</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Ariba</w:t>
            </w:r>
          </w:p>
        </w:tc>
        <w:tc>
          <w:tcPr>
            <w:tcW w:w="1520" w:type="dxa"/>
            <w:vAlign w:val="bottom"/>
          </w:tcPr>
          <w:p>
            <w:pPr>
              <w:ind w:left="200"/>
              <w:spacing w:after="0"/>
              <w:rPr>
                <w:sz w:val="20"/>
                <w:szCs w:val="20"/>
                <w:color w:val="auto"/>
              </w:rPr>
            </w:pPr>
            <w:r>
              <w:rPr>
                <w:rFonts w:ascii="Arial" w:cs="Arial" w:eastAsia="Arial" w:hAnsi="Arial"/>
                <w:sz w:val="18"/>
                <w:szCs w:val="18"/>
                <w:color w:val="auto"/>
              </w:rPr>
              <w:t>Sonosite</w:t>
            </w:r>
          </w:p>
        </w:tc>
        <w:tc>
          <w:tcPr>
            <w:tcW w:w="2240" w:type="dxa"/>
            <w:vAlign w:val="bottom"/>
          </w:tcPr>
          <w:p>
            <w:pPr>
              <w:ind w:left="240"/>
              <w:spacing w:after="0"/>
              <w:rPr>
                <w:sz w:val="20"/>
                <w:szCs w:val="20"/>
                <w:color w:val="auto"/>
              </w:rPr>
            </w:pPr>
            <w:r>
              <w:rPr>
                <w:rFonts w:ascii="Arial" w:cs="Arial" w:eastAsia="Arial" w:hAnsi="Arial"/>
                <w:sz w:val="18"/>
                <w:szCs w:val="18"/>
                <w:color w:val="auto"/>
                <w:w w:val="91"/>
              </w:rPr>
              <w:t>Magma Design Automation</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Arthrocare</w:t>
            </w:r>
          </w:p>
        </w:tc>
        <w:tc>
          <w:tcPr>
            <w:tcW w:w="1520" w:type="dxa"/>
            <w:vAlign w:val="bottom"/>
          </w:tcPr>
          <w:p>
            <w:pPr>
              <w:ind w:left="200"/>
              <w:spacing w:after="0"/>
              <w:rPr>
                <w:sz w:val="20"/>
                <w:szCs w:val="20"/>
                <w:color w:val="auto"/>
              </w:rPr>
            </w:pPr>
            <w:r>
              <w:rPr>
                <w:rFonts w:ascii="Arial" w:cs="Arial" w:eastAsia="Arial" w:hAnsi="Arial"/>
                <w:sz w:val="18"/>
                <w:szCs w:val="18"/>
                <w:color w:val="auto"/>
              </w:rPr>
              <w:t>Thoratec</w:t>
            </w:r>
          </w:p>
        </w:tc>
        <w:tc>
          <w:tcPr>
            <w:tcW w:w="2240" w:type="dxa"/>
            <w:vAlign w:val="bottom"/>
          </w:tcPr>
          <w:p>
            <w:pPr>
              <w:ind w:left="240"/>
              <w:spacing w:after="0"/>
              <w:rPr>
                <w:sz w:val="20"/>
                <w:szCs w:val="20"/>
                <w:color w:val="auto"/>
              </w:rPr>
            </w:pPr>
            <w:r>
              <w:rPr>
                <w:rFonts w:ascii="Arial" w:cs="Arial" w:eastAsia="Arial" w:hAnsi="Arial"/>
                <w:sz w:val="18"/>
                <w:szCs w:val="18"/>
                <w:color w:val="auto"/>
              </w:rPr>
              <w:t>Vignette</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Digital Insight</w:t>
            </w:r>
          </w:p>
        </w:tc>
        <w:tc>
          <w:tcPr>
            <w:tcW w:w="1520" w:type="dxa"/>
            <w:vAlign w:val="bottom"/>
          </w:tcPr>
          <w:p>
            <w:pPr>
              <w:ind w:left="200"/>
              <w:spacing w:after="0"/>
              <w:rPr>
                <w:sz w:val="20"/>
                <w:szCs w:val="20"/>
                <w:color w:val="auto"/>
              </w:rPr>
            </w:pPr>
            <w:r>
              <w:rPr>
                <w:rFonts w:ascii="Arial" w:cs="Arial" w:eastAsia="Arial" w:hAnsi="Arial"/>
                <w:sz w:val="18"/>
                <w:szCs w:val="18"/>
                <w:color w:val="auto"/>
              </w:rPr>
              <w:t>Cantel Medical</w:t>
            </w:r>
          </w:p>
        </w:tc>
        <w:tc>
          <w:tcPr>
            <w:tcW w:w="224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Intuitive Surgical</w:t>
            </w:r>
          </w:p>
        </w:tc>
        <w:tc>
          <w:tcPr>
            <w:tcW w:w="1520" w:type="dxa"/>
            <w:vAlign w:val="bottom"/>
          </w:tcPr>
          <w:p>
            <w:pPr>
              <w:ind w:left="200"/>
              <w:spacing w:after="0"/>
              <w:rPr>
                <w:sz w:val="20"/>
                <w:szCs w:val="20"/>
                <w:color w:val="auto"/>
              </w:rPr>
            </w:pPr>
            <w:r>
              <w:rPr>
                <w:rFonts w:ascii="Arial" w:cs="Arial" w:eastAsia="Arial" w:hAnsi="Arial"/>
                <w:sz w:val="18"/>
                <w:szCs w:val="18"/>
                <w:color w:val="auto"/>
              </w:rPr>
              <w:t>Altiris</w:t>
            </w:r>
          </w:p>
        </w:tc>
        <w:tc>
          <w:tcPr>
            <w:tcW w:w="224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Kyphon</w:t>
            </w:r>
          </w:p>
        </w:tc>
        <w:tc>
          <w:tcPr>
            <w:tcW w:w="1520" w:type="dxa"/>
            <w:vAlign w:val="bottom"/>
          </w:tcPr>
          <w:p>
            <w:pPr>
              <w:ind w:left="200"/>
              <w:spacing w:after="0"/>
              <w:rPr>
                <w:sz w:val="20"/>
                <w:szCs w:val="20"/>
                <w:color w:val="auto"/>
              </w:rPr>
            </w:pPr>
            <w:r>
              <w:rPr>
                <w:rFonts w:ascii="Arial" w:cs="Arial" w:eastAsia="Arial" w:hAnsi="Arial"/>
                <w:sz w:val="18"/>
                <w:szCs w:val="18"/>
                <w:color w:val="auto"/>
              </w:rPr>
              <w:t>InPhonic</w:t>
            </w:r>
          </w:p>
        </w:tc>
        <w:tc>
          <w:tcPr>
            <w:tcW w:w="2240" w:type="dxa"/>
            <w:vAlign w:val="bottom"/>
          </w:tcPr>
          <w:p>
            <w:pPr>
              <w:spacing w:after="0"/>
              <w:rPr>
                <w:sz w:val="20"/>
                <w:szCs w:val="20"/>
                <w:color w:val="auto"/>
              </w:rPr>
            </w:pPr>
          </w:p>
        </w:tc>
      </w:tr>
      <w:tr>
        <w:trPr>
          <w:trHeight w:val="702"/>
        </w:trPr>
        <w:tc>
          <w:tcPr>
            <w:tcW w:w="2180" w:type="dxa"/>
            <w:vAlign w:val="bottom"/>
          </w:tcPr>
          <w:p>
            <w:pPr>
              <w:spacing w:after="0"/>
              <w:rPr>
                <w:sz w:val="24"/>
                <w:szCs w:val="24"/>
                <w:color w:val="auto"/>
              </w:rPr>
            </w:pPr>
          </w:p>
        </w:tc>
        <w:tc>
          <w:tcPr>
            <w:tcW w:w="1520" w:type="dxa"/>
            <w:vAlign w:val="bottom"/>
          </w:tcPr>
          <w:p>
            <w:pPr>
              <w:ind w:left="720"/>
              <w:spacing w:after="0"/>
              <w:rPr>
                <w:sz w:val="20"/>
                <w:szCs w:val="20"/>
                <w:color w:val="auto"/>
              </w:rPr>
            </w:pPr>
            <w:r>
              <w:rPr>
                <w:rFonts w:ascii="Arial" w:cs="Arial" w:eastAsia="Arial" w:hAnsi="Arial"/>
                <w:sz w:val="18"/>
                <w:szCs w:val="18"/>
                <w:color w:val="auto"/>
              </w:rPr>
              <w:t>40</w:t>
            </w:r>
          </w:p>
        </w:tc>
        <w:tc>
          <w:tcPr>
            <w:tcW w:w="2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following discussion and analysis of our selected consolidated financial data should be read together with our consolidated financial statements and related notes included elsewhere in this Annual Report on Form 10-K.</w:t>
      </w:r>
    </w:p>
    <w:p>
      <w:pPr>
        <w:spacing w:after="0" w:line="62"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following tables set forth the selected consolidated financial data for each of the years in the five-year period ended December 31, 2006. The selected consolidated financial data is qualified in its entirety and should be read in conjunction with the Consolidated Financial Statements and related Notes thereto set forth on pages 58 to 89 and “Management’s Discussion and Analysis of Financial Condition and Results of Operations” beginning on page 42. We have derived the statement of income data for the years ended December 31, 2006, 2005 and 2004 and the balance sheet data as of December 31, 2006 and December 31, 2005 from the consolidated audited financial statements included elsewhere in this Annual Report on Form 10-K. The statement of income data for the years ended December 31, 2003 and 2002 and the balance sheet data as of December 31, 2004, 2003 and 2002 were derived from the consolidated audited financial statements that are not included in this Annual Report on Form 10-K.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84" w:orient="portrait"/>
          <w:cols w:equalWidth="0" w:num="1">
            <w:col w:w="11420"/>
          </w:cols>
          <w:pgMar w:left="240" w:top="364" w:right="239" w:bottom="0" w:gutter="0" w:footer="0" w:header="0"/>
        </w:sectPr>
      </w:pPr>
    </w:p>
    <w:p>
      <w:pPr>
        <w:spacing w:after="0" w:line="200" w:lineRule="exact"/>
        <w:rPr>
          <w:sz w:val="20"/>
          <w:szCs w:val="20"/>
          <w:color w:val="auto"/>
        </w:rPr>
      </w:pPr>
    </w:p>
    <w:p>
      <w:pPr>
        <w:spacing w:after="0" w:line="277"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Consolidated Statement of Operations Data:</w:t>
      </w:r>
    </w:p>
    <w:p>
      <w:pPr>
        <w:spacing w:after="0" w:line="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Net revenues</w:t>
      </w:r>
    </w:p>
    <w:p>
      <w:pPr>
        <w:spacing w:after="0" w:line="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Gross profit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Profit (loss) from operations(1)</w:t>
      </w:r>
    </w:p>
    <w:p>
      <w:pPr>
        <w:spacing w:after="0" w:line="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Other income (expense), net</w:t>
      </w:r>
    </w:p>
    <w:p>
      <w:pPr>
        <w:ind w:left="1680" w:right="200" w:hanging="179"/>
        <w:spacing w:after="0" w:line="233" w:lineRule="auto"/>
        <w:rPr>
          <w:sz w:val="20"/>
          <w:szCs w:val="20"/>
          <w:color w:val="auto"/>
        </w:rPr>
      </w:pPr>
      <w:r>
        <w:rPr>
          <w:rFonts w:ascii="Arial" w:cs="Arial" w:eastAsia="Arial" w:hAnsi="Arial"/>
          <w:sz w:val="18"/>
          <w:szCs w:val="18"/>
          <w:color w:val="auto"/>
        </w:rPr>
        <w:t>Net profit (loss) before provision for income taxes(1)</w:t>
      </w:r>
    </w:p>
    <w:p>
      <w:pPr>
        <w:spacing w:after="0" w:line="2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20" w:type="dxa"/>
            <w:vAlign w:val="bottom"/>
            <w:tcBorders>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74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1"/>
                <w:szCs w:val="11"/>
                <w:color w:val="auto"/>
              </w:rPr>
            </w:pPr>
          </w:p>
        </w:tc>
        <w:tc>
          <w:tcPr>
            <w:tcW w:w="740" w:type="dxa"/>
            <w:vAlign w:val="bottom"/>
            <w:tcBorders>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1"/>
                <w:szCs w:val="11"/>
                <w:color w:val="auto"/>
              </w:rPr>
            </w:pPr>
          </w:p>
        </w:tc>
      </w:tr>
      <w:tr>
        <w:trPr>
          <w:trHeight w:val="372"/>
        </w:trPr>
        <w:tc>
          <w:tcPr>
            <w:tcW w:w="720" w:type="dxa"/>
            <w:vAlign w:val="bottom"/>
          </w:tcPr>
          <w:p>
            <w:pPr>
              <w:jc w:val="right"/>
              <w:spacing w:after="0"/>
              <w:rPr>
                <w:sz w:val="20"/>
                <w:szCs w:val="20"/>
                <w:color w:val="auto"/>
              </w:rPr>
            </w:pPr>
            <w:r>
              <w:rPr>
                <w:rFonts w:ascii="Arial" w:cs="Arial" w:eastAsia="Arial" w:hAnsi="Arial"/>
                <w:sz w:val="18"/>
                <w:szCs w:val="18"/>
                <w:color w:val="auto"/>
                <w:w w:val="87"/>
              </w:rPr>
              <w:t>$ 206,354</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$ 207,125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$ 172,830</w:t>
            </w:r>
          </w:p>
        </w:tc>
        <w:tc>
          <w:tcPr>
            <w:tcW w:w="14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122,725</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69,698</w:t>
            </w:r>
          </w:p>
        </w:tc>
        <w:tc>
          <w:tcPr>
            <w:tcW w:w="60" w:type="dxa"/>
            <w:vAlign w:val="bottom"/>
          </w:tcPr>
          <w:p>
            <w:pPr>
              <w:spacing w:after="0"/>
              <w:rPr>
                <w:sz w:val="24"/>
                <w:szCs w:val="24"/>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8"/>
                <w:szCs w:val="18"/>
                <w:color w:val="auto"/>
                <w:w w:val="87"/>
              </w:rPr>
              <w:t>$ 141,579</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$ 143,341</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$ 115,304</w:t>
            </w:r>
          </w:p>
        </w:tc>
        <w:tc>
          <w:tcPr>
            <w:tcW w:w="14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71,160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24,707</w:t>
            </w:r>
          </w:p>
        </w:tc>
        <w:tc>
          <w:tcPr>
            <w:tcW w:w="60" w:type="dxa"/>
            <w:vAlign w:val="bottom"/>
          </w:tcPr>
          <w:p>
            <w:pPr>
              <w:spacing w:after="0"/>
              <w:rPr>
                <w:sz w:val="20"/>
                <w:szCs w:val="20"/>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(37,536)</w:t>
            </w:r>
          </w:p>
        </w:tc>
        <w:tc>
          <w:tcPr>
            <w:tcW w:w="740" w:type="dxa"/>
            <w:vAlign w:val="bottom"/>
          </w:tcPr>
          <w:p>
            <w:pPr>
              <w:jc w:val="right"/>
              <w:spacing w:after="0"/>
              <w:rPr>
                <w:sz w:val="20"/>
                <w:szCs w:val="20"/>
                <w:color w:val="auto"/>
              </w:rPr>
            </w:pPr>
            <w:r>
              <w:rPr>
                <w:rFonts w:ascii="Arial" w:cs="Arial" w:eastAsia="Arial" w:hAnsi="Arial"/>
                <w:sz w:val="18"/>
                <w:szCs w:val="18"/>
                <w:color w:val="auto"/>
              </w:rPr>
              <w:t>2,446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(19,937)</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(72,935)</w:t>
            </w:r>
          </w:p>
        </w:tc>
      </w:tr>
      <w:tr>
        <w:trPr>
          <w:trHeight w:val="217"/>
        </w:trPr>
        <w:tc>
          <w:tcPr>
            <w:tcW w:w="720" w:type="dxa"/>
            <w:vAlign w:val="bottom"/>
          </w:tcPr>
          <w:p>
            <w:pPr>
              <w:jc w:val="right"/>
              <w:spacing w:after="0"/>
              <w:rPr>
                <w:sz w:val="20"/>
                <w:szCs w:val="20"/>
                <w:color w:val="auto"/>
              </w:rPr>
            </w:pPr>
            <w:r>
              <w:rPr>
                <w:rFonts w:ascii="Arial" w:cs="Arial" w:eastAsia="Arial" w:hAnsi="Arial"/>
                <w:sz w:val="18"/>
                <w:szCs w:val="18"/>
                <w:color w:val="auto"/>
              </w:rPr>
              <w:t>3,401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(34,135)</w:t>
            </w:r>
          </w:p>
        </w:tc>
        <w:tc>
          <w:tcPr>
            <w:tcW w:w="740" w:type="dxa"/>
            <w:vAlign w:val="bottom"/>
          </w:tcPr>
          <w:p>
            <w:pPr>
              <w:jc w:val="right"/>
              <w:spacing w:after="0"/>
              <w:rPr>
                <w:sz w:val="20"/>
                <w:szCs w:val="20"/>
                <w:color w:val="auto"/>
              </w:rPr>
            </w:pPr>
            <w:r>
              <w:rPr>
                <w:rFonts w:ascii="Arial" w:cs="Arial" w:eastAsia="Arial" w:hAnsi="Arial"/>
                <w:sz w:val="18"/>
                <w:szCs w:val="18"/>
                <w:color w:val="auto"/>
              </w:rPr>
              <w:t>2,729</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9,762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(20,038)</w:t>
            </w: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(72,819)</w:t>
            </w:r>
          </w:p>
        </w:tc>
      </w:tr>
      <w:tr>
        <w:trPr>
          <w:trHeight w:val="248"/>
        </w:trPr>
        <w:tc>
          <w:tcPr>
            <w:tcW w:w="720" w:type="dxa"/>
            <w:vAlign w:val="bottom"/>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1,316</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-1151255</wp:posOffset>
            </wp:positionV>
            <wp:extent cx="536003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60035" cy="12890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-894080</wp:posOffset>
            </wp:positionV>
            <wp:extent cx="536003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60035" cy="18859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-525780</wp:posOffset>
            </wp:positionV>
            <wp:extent cx="5360035"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60035" cy="12001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-165100</wp:posOffset>
            </wp:positionV>
            <wp:extent cx="536003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60035" cy="171450"/>
                    </a:xfrm>
                    <a:prstGeom prst="rect">
                      <a:avLst/>
                    </a:prstGeom>
                    <a:noFill/>
                  </pic:spPr>
                </pic:pic>
              </a:graphicData>
            </a:graphic>
          </wp:anchor>
        </w:drawing>
      </w:r>
    </w:p>
    <w:p>
      <w:pPr>
        <w:spacing w:after="0" w:line="35" w:lineRule="exact"/>
        <w:rPr>
          <w:sz w:val="20"/>
          <w:szCs w:val="20"/>
          <w:color w:val="auto"/>
        </w:rPr>
      </w:pPr>
    </w:p>
    <w:p>
      <w:pPr>
        <w:sectPr>
          <w:pgSz w:w="11900" w:h="16884" w:orient="portrait"/>
          <w:cols w:equalWidth="0" w:num="2">
            <w:col w:w="4900" w:space="420"/>
            <w:col w:w="6100"/>
          </w:cols>
          <w:pgMar w:left="240" w:top="364" w:right="239" w:bottom="0" w:gutter="0" w:footer="0" w:header="0"/>
          <w:type w:val="continuous"/>
        </w:sectPr>
      </w:pPr>
    </w:p>
    <w:tbl>
      <w:tblPr>
        <w:tblLayout w:type="fixed"/>
        <w:tblInd w:w="1500" w:type="dxa"/>
        <w:tblCellMar>
          <w:top w:w="0" w:type="dxa"/>
          <w:left w:w="0" w:type="dxa"/>
          <w:bottom w:w="0" w:type="dxa"/>
          <w:right w:w="0" w:type="dxa"/>
        </w:tblCellMar>
      </w:tblPr>
      <w:tr>
        <w:trPr>
          <w:trHeight w:val="270"/>
        </w:trPr>
        <w:tc>
          <w:tcPr>
            <w:tcW w:w="3820" w:type="dxa"/>
            <w:vAlign w:val="bottom"/>
          </w:tcPr>
          <w:p>
            <w:pPr>
              <w:spacing w:after="0"/>
              <w:rPr>
                <w:sz w:val="20"/>
                <w:szCs w:val="20"/>
                <w:color w:val="auto"/>
              </w:rPr>
            </w:pPr>
            <w:r>
              <w:rPr>
                <w:rFonts w:ascii="Arial" w:cs="Arial" w:eastAsia="Arial" w:hAnsi="Arial"/>
                <w:sz w:val="18"/>
                <w:szCs w:val="18"/>
                <w:color w:val="auto"/>
              </w:rPr>
              <w:t>Net profit (loss)(1)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(34,963)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1,413</w:t>
            </w:r>
          </w:p>
        </w:tc>
        <w:tc>
          <w:tcPr>
            <w:tcW w:w="2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(20,122)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(72,819)</w:t>
            </w:r>
          </w:p>
        </w:tc>
      </w:tr>
      <w:tr>
        <w:trPr>
          <w:trHeight w:val="237"/>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(loss) per share</w:t>
            </w:r>
          </w:p>
        </w:tc>
        <w:tc>
          <w:tcPr>
            <w:tcW w:w="12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r>
      <w:tr>
        <w:trPr>
          <w:trHeight w:val="229"/>
        </w:trPr>
        <w:tc>
          <w:tcPr>
            <w:tcW w:w="3820" w:type="dxa"/>
            <w:vAlign w:val="bottom"/>
          </w:tcPr>
          <w:p>
            <w:pPr>
              <w:spacing w:after="0" w:line="189" w:lineRule="exact"/>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(0.55)</w:t>
            </w:r>
          </w:p>
        </w:tc>
        <w:tc>
          <w:tcPr>
            <w:tcW w:w="20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0.02</w:t>
            </w:r>
          </w:p>
        </w:tc>
        <w:tc>
          <w:tcPr>
            <w:tcW w:w="200" w:type="dxa"/>
            <w:vAlign w:val="bottom"/>
          </w:tcPr>
          <w:p>
            <w:pPr>
              <w:spacing w:after="0"/>
              <w:rPr>
                <w:sz w:val="19"/>
                <w:szCs w:val="19"/>
                <w:color w:val="auto"/>
              </w:rPr>
            </w:pPr>
          </w:p>
        </w:tc>
        <w:tc>
          <w:tcPr>
            <w:tcW w:w="20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0.15</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(0.35)</w:t>
            </w:r>
          </w:p>
        </w:tc>
        <w:tc>
          <w:tcPr>
            <w:tcW w:w="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(1.52)</w:t>
            </w:r>
          </w:p>
        </w:tc>
      </w:tr>
      <w:tr>
        <w:trPr>
          <w:trHeight w:val="170"/>
        </w:trPr>
        <w:tc>
          <w:tcPr>
            <w:tcW w:w="38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(0.55</w:t>
            </w:r>
          </w:p>
        </w:tc>
        <w:tc>
          <w:tcPr>
            <w:tcW w:w="220" w:type="dxa"/>
            <w:vAlign w:val="bottom"/>
            <w:tcBorders>
              <w:top w:val="single" w:sz="8" w:color="CCEEFF"/>
              <w:bottom w:val="single" w:sz="8" w:color="CCEEFF"/>
            </w:tcBorders>
            <w:shd w:val="clear" w:color="auto" w:fill="CCEEFF"/>
          </w:tcPr>
          <w:p>
            <w:pPr>
              <w:jc w:val="right"/>
              <w:ind w:right="80"/>
              <w:spacing w:after="0" w:line="170" w:lineRule="exact"/>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0.02</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0.14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(0.35</w:t>
            </w:r>
          </w:p>
        </w:tc>
        <w:tc>
          <w:tcPr>
            <w:tcW w:w="1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(1.52</w:t>
            </w:r>
          </w:p>
        </w:tc>
        <w:tc>
          <w:tcPr>
            <w:tcW w:w="12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74"/>
              </w:rPr>
              <w:t>)</w:t>
            </w:r>
          </w:p>
        </w:tc>
      </w:tr>
      <w:tr>
        <w:trPr>
          <w:trHeight w:val="20"/>
        </w:trPr>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84" w:orient="portrait"/>
          <w:cols w:equalWidth="0" w:num="1">
            <w:col w:w="11420"/>
          </w:cols>
          <w:pgMar w:left="240" w:top="364" w:right="239" w:bottom="0" w:gutter="0" w:footer="0" w:header="0"/>
          <w:type w:val="continuous"/>
        </w:sectPr>
      </w:pPr>
    </w:p>
    <w:bookmarkStart w:id="23" w:name="page24"/>
    <w:bookmarkEnd w:id="23"/>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3536315</wp:posOffset>
            </wp:positionH>
            <wp:positionV relativeFrom="page">
              <wp:posOffset>88900</wp:posOffset>
            </wp:positionV>
            <wp:extent cx="285559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559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320" w:type="dxa"/>
            <w:vAlign w:val="bottom"/>
            <w:gridSpan w:val="3"/>
          </w:tcPr>
          <w:p>
            <w:pPr>
              <w:ind w:left="1500"/>
              <w:spacing w:after="0"/>
              <w:rPr>
                <w:sz w:val="20"/>
                <w:szCs w:val="20"/>
                <w:color w:val="auto"/>
              </w:rPr>
            </w:pPr>
            <w:r>
              <w:rPr>
                <w:rFonts w:ascii="Arial" w:cs="Arial" w:eastAsia="Arial" w:hAnsi="Arial"/>
                <w:sz w:val="18"/>
                <w:szCs w:val="18"/>
                <w:color w:val="auto"/>
              </w:rPr>
              <w:t>Shares used in computing net profit (loss) per</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82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63,246</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61,644</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59,963</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57,758</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47,878</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500" w:type="dxa"/>
            <w:vAlign w:val="bottom"/>
          </w:tcPr>
          <w:p>
            <w:pPr>
              <w:spacing w:after="0"/>
              <w:rPr>
                <w:sz w:val="14"/>
                <w:szCs w:val="14"/>
                <w:color w:val="auto"/>
              </w:rPr>
            </w:pPr>
          </w:p>
        </w:tc>
        <w:tc>
          <w:tcPr>
            <w:tcW w:w="382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63,246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63,152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64,089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57,758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47,878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3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2002</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38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Consolidated Balance Sheet Data:</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820" w:type="dxa"/>
            <w:vAlign w:val="bottom"/>
            <w:gridSpan w:val="2"/>
          </w:tcPr>
          <w:p>
            <w:pPr>
              <w:spacing w:after="0" w:line="189" w:lineRule="exact"/>
              <w:rPr>
                <w:sz w:val="20"/>
                <w:szCs w:val="20"/>
                <w:color w:val="auto"/>
              </w:rPr>
            </w:pPr>
            <w:r>
              <w:rPr>
                <w:rFonts w:ascii="Arial" w:cs="Arial" w:eastAsia="Arial" w:hAnsi="Arial"/>
                <w:sz w:val="18"/>
                <w:szCs w:val="18"/>
                <w:color w:val="auto"/>
              </w:rPr>
              <w:t>Working capital</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40,306</w:t>
            </w:r>
          </w:p>
        </w:tc>
        <w:tc>
          <w:tcPr>
            <w:tcW w:w="22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62,978</w:t>
            </w:r>
          </w:p>
        </w:tc>
        <w:tc>
          <w:tcPr>
            <w:tcW w:w="3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61,886</w:t>
            </w:r>
          </w:p>
        </w:tc>
        <w:tc>
          <w:tcPr>
            <w:tcW w:w="140" w:type="dxa"/>
            <w:vAlign w:val="bottom"/>
          </w:tcPr>
          <w:p>
            <w:pPr>
              <w:spacing w:after="0"/>
              <w:rPr>
                <w:sz w:val="16"/>
                <w:szCs w:val="16"/>
                <w:color w:val="auto"/>
              </w:rPr>
            </w:pPr>
          </w:p>
        </w:tc>
        <w:tc>
          <w:tcPr>
            <w:tcW w:w="1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39,737</w:t>
            </w:r>
          </w:p>
        </w:tc>
        <w:tc>
          <w:tcPr>
            <w:tcW w:w="3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41,160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151,558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142,110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130,712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102,202</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92,856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820" w:type="dxa"/>
            <w:vAlign w:val="bottom"/>
            <w:gridSpan w:val="2"/>
          </w:tcPr>
          <w:p>
            <w:pPr>
              <w:spacing w:after="0" w:line="189" w:lineRule="exact"/>
              <w:rPr>
                <w:sz w:val="20"/>
                <w:szCs w:val="20"/>
                <w:color w:val="auto"/>
              </w:rPr>
            </w:pPr>
            <w:r>
              <w:rPr>
                <w:rFonts w:ascii="Arial" w:cs="Arial" w:eastAsia="Arial" w:hAnsi="Arial"/>
                <w:sz w:val="18"/>
                <w:szCs w:val="18"/>
                <w:color w:val="auto"/>
              </w:rPr>
              <w:t>Total long-term liabilities</w:t>
            </w:r>
          </w:p>
        </w:tc>
        <w:tc>
          <w:tcPr>
            <w:tcW w:w="12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219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64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1,849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3,837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83,556</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93,438</w:t>
            </w: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85,739</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62,976</w:t>
            </w: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64,347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5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hanging="352"/>
        <w:spacing w:after="0" w:line="256" w:lineRule="auto"/>
        <w:tabs>
          <w:tab w:leader="none" w:pos="3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 2006 Profit (loss) from operations, Net profit (loss) before provision for income taxes and Net profit (loss) included a $14.3 million charge for Patients First Program and settlement costs. </w:t>
      </w:r>
      <w:r>
        <w:rPr>
          <w:rFonts w:ascii="Arial" w:cs="Arial" w:eastAsia="Arial" w:hAnsi="Arial"/>
          <w:sz w:val="18"/>
          <w:szCs w:val="18"/>
          <w:i w:val="1"/>
          <w:iCs w:val="1"/>
          <w:color w:val="auto"/>
        </w:rPr>
        <w:t>See Note 2 “Patients First Program and settlement costs” of the Notes to Consolidated Financial Statements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additional information</w:t>
      </w:r>
      <w:r>
        <w:rPr>
          <w:rFonts w:ascii="Arial" w:cs="Arial" w:eastAsia="Arial" w:hAnsi="Arial"/>
          <w:sz w:val="18"/>
          <w:szCs w:val="18"/>
          <w:color w:val="auto"/>
        </w:rPr>
        <w: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60" w:firstLine="360"/>
        <w:spacing w:after="0" w:line="308"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“Selected Consolidated Financial Data” and our consolidated financial statements and related notes included elsewhere in this Annual Report on Form 10-K.</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Align Technology, founded in April 1997, designs, manufactures and markets Invisalign, a proprietary method for treating malocclusion, or the misalignment of teeth. Invisalign corrects malocclusion using a series of clear, nearly invisible, removable appliances that gently move teeth to a desired final position. Because it does not rely on the use of metal or ceramic brackets and wires, Invisalign significantly reduces the aesthetic and other limitations associated with braces. Invisalign is appropriate for treating adults and teens with mature dentition. We received FDA clearance to market Invisalign in 1998, and we began commercial operations and sales of full Invisalign treatment in July 1999.</w:t>
      </w:r>
    </w:p>
    <w:p>
      <w:pPr>
        <w:spacing w:after="0" w:line="80"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Each Invisalign treatment plan is unique to the individual patient. Our full Invisalign treatment consists of as many Aligners as indicated by ClinCheck in order to achieve the doctors’ treatment goals. In the third quarter of 2005, we launched Invisalign Express, a low-cost solution for less complex orthodontic cases. Invisalign Express is a dual arch orthodontic treatment for cases that meet certain predetermined clinical criteria and consist of up to ten Aligners. Invisalign Express is intended to assist dental professionals to treat a broader range of patients by providing a lower cost option for adult relapse cases, minor crowding and spacing or as a pre-cursor to restorative or cosmetic treatment such as veneers.</w:t>
      </w:r>
    </w:p>
    <w:p>
      <w:pPr>
        <w:spacing w:after="0" w:line="6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generate the vast majority of our revenues from the sales of the Invisalign system (which includes full Invisalign treatment and Invisalign Express) to orthodontists and GPs in the United States and Canada, our domestic market. Sales of the Invisalign system in our domestic GP channel and our domestic orthodontic channel represented approximately 45% and 33% of our total net revenues during fiscal 2006, respectively. Our domestic full Invisalign and Invisalign Express revenues represented 66% and 13% of our total net revenue during 2006, respectively. Our international revenues represented 16% of our total net revenue during fiscal 2006.</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number of factors, the most important of which are set forth below, may affect our results during the remainder of 2007 and beyond.</w:t>
      </w:r>
    </w:p>
    <w:p>
      <w:pPr>
        <w:spacing w:after="0" w:line="117" w:lineRule="exact"/>
        <w:rPr>
          <w:sz w:val="20"/>
          <w:szCs w:val="20"/>
          <w:color w:val="auto"/>
        </w:rPr>
      </w:pPr>
    </w:p>
    <w:p>
      <w:pPr>
        <w:ind w:left="540" w:hanging="172"/>
        <w:spacing w:after="0" w:line="269"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Settlement with OrthoClear. </w:t>
      </w:r>
      <w:r>
        <w:rPr>
          <w:rFonts w:ascii="Arial" w:cs="Arial" w:eastAsia="Arial" w:hAnsi="Arial"/>
          <w:sz w:val="17"/>
          <w:szCs w:val="17"/>
          <w:color w:val="auto"/>
        </w:rPr>
        <w:t>In the fourth quarter of 2006, we entered into a formal agreement with OrthoClear, Inc., OrthoClear Holdings, Inc.,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OrthoClear Pakistan Pvt. Ltd. (“OrthoClear”), together with certain individuals associated with OrthoClear (the “OrthoClear Agreement”) to end all pending litigation between the parties. In addition, OrthoClear agreed, among other things, to stop accepting new patient cases for treatment, consent to the entry of an exclusion order by the ITC prohibiting the importation of OrthoClear aligners into the United States, assign and transfer to Align all intellectual property rights with application to the correction of malocclusion and to discontinue all design, manufacture, marketing and sales of removable dental aligners worldwide. Certain OrthoClear principles also signed five year non-compete agreements. In accordance with the terms of the OrthoClear Agreement, we made a one-time cash payment of $20.0 million to OrthoClear Holdings, Inc. </w:t>
      </w:r>
      <w:r>
        <w:rPr>
          <w:rFonts w:ascii="Arial" w:cs="Arial" w:eastAsia="Arial" w:hAnsi="Arial"/>
          <w:sz w:val="17"/>
          <w:szCs w:val="17"/>
          <w:i w:val="1"/>
          <w:iCs w:val="1"/>
          <w:color w:val="auto"/>
        </w:rPr>
        <w:t>See Part I, Item 3 “Legal Proceedings”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this Annual Report on Form 10-K for a more complete summary of the OrthoClear Agreement. </w:t>
      </w:r>
      <w:r>
        <w:rPr>
          <w:rFonts w:ascii="Arial" w:cs="Arial" w:eastAsia="Arial" w:hAnsi="Arial"/>
          <w:sz w:val="17"/>
          <w:szCs w:val="17"/>
          <w:color w:val="auto"/>
        </w:rPr>
        <w:t>During the fourth quarter of 2006, we engaged a</w:t>
      </w:r>
      <w:r>
        <w:rPr>
          <w:rFonts w:ascii="Arial" w:cs="Arial" w:eastAsia="Arial" w:hAnsi="Arial"/>
          <w:sz w:val="17"/>
          <w:szCs w:val="17"/>
          <w:i w:val="1"/>
          <w:iCs w:val="1"/>
          <w:color w:val="auto"/>
        </w:rPr>
        <w:t xml:space="preserve"> </w:t>
      </w:r>
      <w:r>
        <w:rPr>
          <w:rFonts w:ascii="Arial" w:cs="Arial" w:eastAsia="Arial" w:hAnsi="Arial"/>
          <w:sz w:val="17"/>
          <w:szCs w:val="17"/>
          <w:color w:val="auto"/>
        </w:rPr>
        <w:t>third-party firm to assist us in assessing the value of the assets received in conjunction with the OrthoClear Agreement. Based on this valuation, $14.0 million of the $20.0 million we paid to OrthoClear represented the fair value of the non-compete agreements. These intangible assets were capitalized on our balance sheet and are being amortized over 5 years beginning in the fourth quarter of 2006. The intellectual property transferred to us was determined not to have 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alternative future use and therefore had no fair value. We recorded the remaining $6.0 million as settlement costs. Through the OrthoClear Agreement we achieved our primary objectives in the litigation as well as eliminated the costs and risks of protracted litigation. As a result of the OrthoClear Agreement, we expect our legal expenses will be reduced significantly in fiscal 2007 and our management and technical personnel will be able to refocus their energy and resources on our customers and product development.</w:t>
      </w:r>
    </w:p>
    <w:p>
      <w:pPr>
        <w:spacing w:after="0" w:line="79" w:lineRule="exact"/>
        <w:rPr>
          <w:sz w:val="20"/>
          <w:szCs w:val="20"/>
          <w:color w:val="auto"/>
        </w:rPr>
      </w:pPr>
    </w:p>
    <w:p>
      <w:pPr>
        <w:ind w:left="540" w:right="20" w:hanging="172"/>
        <w:spacing w:after="0" w:line="290"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“Patients First Program”. </w:t>
      </w:r>
      <w:r>
        <w:rPr>
          <w:rFonts w:ascii="Arial" w:cs="Arial" w:eastAsia="Arial" w:hAnsi="Arial"/>
          <w:sz w:val="16"/>
          <w:szCs w:val="16"/>
          <w:color w:val="auto"/>
        </w:rPr>
        <w:t>As part of the OrthoClear Agreement, OrthoClear agreed to stop the importation of aligners into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 all aligner business operations worldwide. As a result, most OrthoClear patients were unable to complete their orthodontic treatment with OrthoClear. In an attempt to help minimize treatment disruptions for these patients and their doctors, we committed to make Invisalign treatment available to OrthoClear patients at no additional charge from Align. Therefore, we will receive no revenue for any additional cases we start under this program while incurring significant expenses. In the fourth quarter of 2006, we recorded an expense of $8.3 million for the anticipated cost of completing this program. This amount is based on the number of OrthoClear cases registered under the Patients First Program as of December 31, 2006 and the estimated costs that will be incurred in order to fulfill our obligations as a result of this program. If the actual number of OrthoClear cases under the program changes or the actual costs differ significantly from our estimates, we would be required to adjust the accrual for the Patient’s</w:t>
      </w:r>
    </w:p>
    <w:p>
      <w:pPr>
        <w:sectPr>
          <w:pgSz w:w="11900" w:h="16933" w:orient="portrait"/>
          <w:cols w:equalWidth="0" w:num="1">
            <w:col w:w="11400"/>
          </w:cols>
          <w:pgMar w:left="240" w:top="175" w:right="259" w:bottom="0" w:gutter="0" w:footer="0" w:header="0"/>
        </w:sectPr>
      </w:pPr>
    </w:p>
    <w:bookmarkStart w:id="24" w:name="page25"/>
    <w:bookmarkEnd w:id="24"/>
    <w:p>
      <w:pPr>
        <w:ind w:left="180" w:right="120"/>
        <w:spacing w:after="0" w:line="277" w:lineRule="auto"/>
        <w:rPr>
          <w:sz w:val="20"/>
          <w:szCs w:val="20"/>
          <w:color w:val="auto"/>
        </w:rPr>
      </w:pPr>
      <w:r>
        <w:rPr>
          <w:rFonts w:ascii="Arial" w:cs="Arial" w:eastAsia="Arial" w:hAnsi="Arial"/>
          <w:sz w:val="18"/>
          <w:szCs w:val="18"/>
          <w:color w:val="auto"/>
        </w:rPr>
        <w:t>First Program, which could materially impact our financial statements. As of December 31, 2006, $6.8 million remained in accrued liabilities for this program.</w:t>
      </w:r>
    </w:p>
    <w:p>
      <w:pPr>
        <w:spacing w:after="0" w:line="62" w:lineRule="exact"/>
        <w:rPr>
          <w:sz w:val="20"/>
          <w:szCs w:val="20"/>
          <w:color w:val="auto"/>
        </w:rPr>
      </w:pPr>
    </w:p>
    <w:p>
      <w:pPr>
        <w:ind w:left="180" w:right="20"/>
        <w:spacing w:after="0" w:line="268" w:lineRule="auto"/>
        <w:rPr>
          <w:sz w:val="20"/>
          <w:szCs w:val="20"/>
          <w:color w:val="auto"/>
        </w:rPr>
      </w:pPr>
      <w:r>
        <w:rPr>
          <w:rFonts w:ascii="Arial" w:cs="Arial" w:eastAsia="Arial" w:hAnsi="Arial"/>
          <w:sz w:val="17"/>
          <w:szCs w:val="17"/>
          <w:color w:val="auto"/>
        </w:rPr>
        <w:t>Additionally, this program has generated increased demands on our sales and customer service representatives and on our manufacturing processes, including increased headcount. In the fourth quarter of 2006, we hired approximately 100 additional dental technicians at our facility in Costa Rica. Training these technicians to use the sophisticated computer modeling program necessary to create ClinCheck treatment forms, takes approximately 90 to 120 days. Therefore, although we hired these additional technicians in the fourth quarter of 2006, these individuals were not able to provide meaningful contribution to our manufacturing process until the beginning of 2007. As a result of this manufacturing constraint, although we initially sought to implement the Patients First Program without impacting our existing customers, or new, paid Invisalign cases, the influx of Patients First Program cases, as well as a higher than expected number of paid Invisalign case submissions in the fourth quarter, caused a delay in ClinCheck preparation time for some new cases by approximately 10 days. Difficulties such as these in managing the deployment of this program, could cause us to lose existing customers, face potential customer disputes or limit the number of new customers who purchase our products or services as well as result in lost or delayed revenue which could cause a decline in our revenues, gross margins and net profits and adversely affect our operating results. We currently anticipate that we will be able to complete the Patients First Program by the end of the second quarter of fiscal 2007. We expect that as we complete the Patients First Program cases, the incremental capacity and workforce created as a result of this program will be utilized by the anticipated increase in paid Invisalign cases.</w:t>
      </w:r>
    </w:p>
    <w:p>
      <w:pPr>
        <w:spacing w:after="0" w:line="80" w:lineRule="exact"/>
        <w:rPr>
          <w:sz w:val="20"/>
          <w:szCs w:val="20"/>
          <w:color w:val="auto"/>
        </w:rPr>
      </w:pPr>
    </w:p>
    <w:p>
      <w:pPr>
        <w:ind w:left="180" w:hanging="172"/>
        <w:spacing w:after="0" w:line="293" w:lineRule="auto"/>
        <w:tabs>
          <w:tab w:leader="none" w:pos="14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Penetration into our Domestic Market. </w:t>
      </w:r>
      <w:r>
        <w:rPr>
          <w:rFonts w:ascii="Arial" w:cs="Arial" w:eastAsia="Arial" w:hAnsi="Arial"/>
          <w:sz w:val="16"/>
          <w:szCs w:val="16"/>
          <w:color w:val="auto"/>
        </w:rPr>
        <w:t>As specialists, orthodontists are a critical part of our business, and we expect that orthodontists will continue</w:t>
      </w:r>
      <w:r>
        <w:rPr>
          <w:rFonts w:ascii="Arial" w:cs="Arial" w:eastAsia="Arial" w:hAnsi="Arial"/>
          <w:sz w:val="16"/>
          <w:szCs w:val="16"/>
          <w:i w:val="1"/>
          <w:iCs w:val="1"/>
          <w:color w:val="auto"/>
        </w:rPr>
        <w:t xml:space="preserve"> </w:t>
      </w:r>
      <w:r>
        <w:rPr>
          <w:rFonts w:ascii="Arial" w:cs="Arial" w:eastAsia="Arial" w:hAnsi="Arial"/>
          <w:sz w:val="16"/>
          <w:szCs w:val="16"/>
          <w:color w:val="auto"/>
        </w:rPr>
        <w:t>to treat the majority of complex cases and continue to drive research for expanding Invisalign applications. However, there exists a significantly greater number of GPs in North America than orthodontists. As the primary provider of dental care, GPs have access to a greater number of patients than orthodontists, and possess a unique opportunity to educate these patients on the benefits of oral care and introduce them to Invisalign. GPs also have the ability to refer appropriate cases to orthodontists and may choose to treat less complex cases themselves. Largely due to the fact that there are significantly more GPs than orthodontists, we expect that an increasingly larger percentage of our revenues will be</w:t>
      </w:r>
    </w:p>
    <w:p>
      <w:pPr>
        <w:spacing w:after="0" w:line="38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right="100"/>
        <w:spacing w:after="0" w:line="289" w:lineRule="auto"/>
        <w:rPr>
          <w:sz w:val="20"/>
          <w:szCs w:val="20"/>
          <w:color w:val="auto"/>
        </w:rPr>
      </w:pPr>
      <w:r>
        <w:rPr>
          <w:rFonts w:ascii="Arial" w:cs="Arial" w:eastAsia="Arial" w:hAnsi="Arial"/>
          <w:sz w:val="16"/>
          <w:szCs w:val="16"/>
          <w:color w:val="auto"/>
        </w:rPr>
        <w:t>generated by GPs. In fact, in fiscal 2006, our domestic GP channel generated 45% of our total net revenue, while the orthodontic channel represented 33%. We continue to believe that by focusing on increasing utilization rates among our existing GP customers, the overall market for Invisalign will increase, as patients who would not have otherwise sought orthodontic treatment are introduced to Invisalign by their GPs. In 2007, we expect to increase the overall marketing spend in the United States with a focus on programs designed to raise the profile of Invisalign and drive more consumers to our most experienced doctors. We anticipate that this increased consumer awareness of Invisalign will increase the market for our product. In addition, by educating dental students and orthodontic residents on the benefits of the Invisalign technique, we believe they will be more likely to use this technology in their future practices and offer Invisalign as a treatment option. As of December 31, 2006, we have integrated the Invisalign technique into the curriculums of 38 university programs, including Harvard University, Columbia University, Temple University and the University of Texas at San Antonio. We expect additional dental schools to integrate the Invisalign technique into their curriculums in the future.</w:t>
      </w:r>
    </w:p>
    <w:p>
      <w:pPr>
        <w:spacing w:after="0" w:line="59" w:lineRule="exact"/>
        <w:rPr>
          <w:sz w:val="20"/>
          <w:szCs w:val="20"/>
          <w:color w:val="auto"/>
        </w:rPr>
      </w:pPr>
    </w:p>
    <w:p>
      <w:pPr>
        <w:ind w:left="180" w:hanging="172"/>
        <w:spacing w:after="0" w:line="259" w:lineRule="auto"/>
        <w:tabs>
          <w:tab w:leader="none" w:pos="1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In the third quarter of 2005, we launched Invisalign Express, a low-cost solution for less complex orthodontic cases. In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2006, we experienced a decline in the number of Invisalign Express cases as compared to the third quarter of 2006. Although we expect that the number of Invisalign Express cases in the first quarter of 2007 will be relatively consistent compared to the fourth quarter of 2006, we expect to see an increasing number of Invisalign Express cases during the remaining quarters of 2007.</w:t>
      </w:r>
    </w:p>
    <w:p>
      <w:pPr>
        <w:spacing w:after="0" w:line="78" w:lineRule="exact"/>
        <w:rPr>
          <w:rFonts w:ascii="Arial" w:cs="Arial" w:eastAsia="Arial" w:hAnsi="Arial"/>
          <w:sz w:val="18"/>
          <w:szCs w:val="18"/>
          <w:color w:val="auto"/>
        </w:rPr>
      </w:pPr>
    </w:p>
    <w:p>
      <w:pPr>
        <w:ind w:left="180" w:hanging="172"/>
        <w:spacing w:after="0" w:line="270" w:lineRule="auto"/>
        <w:tabs>
          <w:tab w:leader="none" w:pos="1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Continued Product Leadership</w:t>
      </w:r>
      <w:r>
        <w:rPr>
          <w:rFonts w:ascii="Arial" w:cs="Arial" w:eastAsia="Arial" w:hAnsi="Arial"/>
          <w:sz w:val="17"/>
          <w:szCs w:val="17"/>
          <w:color w:val="auto"/>
        </w:rPr>
        <w:t>. We are committed to investing in delivering new products, enhancing the user experience and introducing new</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features to our existing products. In addition to Invisalign Express, launched in 2005, in the second half of 2006 we announced a phased rollout of ClinAdvisor, a new suite of software tools designed to make Invisalign case selection and submission processes more efficient for doctors. During 2007, we expect to extend the product features and functionality of ClinAdvisor and release it to an increasing number of practices. In addition, we plan to introduce further software enhancements directed at our more experienced doctors that will provide these doctors with a robust set of tools for greater predictability, wider applicability and more control. We are also continuing to focus our research and development efforts on a next generation Aligner material as well as a compliance indicator which will help doctors and patients understand if the patients have worn their Aligners for enough time to effectively move their teeth. We expect these efforts to extend at least through 2008. By investing in developing these new products and continually enhancing our existing products, we expect to increase market share.</w:t>
      </w:r>
    </w:p>
    <w:p>
      <w:pPr>
        <w:spacing w:after="0" w:line="73" w:lineRule="exact"/>
        <w:rPr>
          <w:rFonts w:ascii="Arial" w:cs="Arial" w:eastAsia="Arial" w:hAnsi="Arial"/>
          <w:sz w:val="17"/>
          <w:szCs w:val="17"/>
          <w:color w:val="auto"/>
        </w:rPr>
      </w:pPr>
    </w:p>
    <w:p>
      <w:pPr>
        <w:ind w:left="180" w:right="60" w:hanging="172"/>
        <w:spacing w:after="0" w:line="276" w:lineRule="auto"/>
        <w:tabs>
          <w:tab w:leader="none" w:pos="1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Expansion of International Markets. </w:t>
      </w:r>
      <w:r>
        <w:rPr>
          <w:rFonts w:ascii="Arial" w:cs="Arial" w:eastAsia="Arial" w:hAnsi="Arial"/>
          <w:sz w:val="17"/>
          <w:szCs w:val="17"/>
          <w:color w:val="auto"/>
        </w:rPr>
        <w:t>We will focus our efforts towards increasing adoption of Invisalign by dental professionals in key international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including Europe and Japan. We will consider expanding into additional countries on a case by case basis. In 2006, our international channel represented approximately 16% of our total net revenue primarily as a result of growth in Europe. In 2007, we expect to increase our consumer marketing efforts in key European markets. We expect our international revenue to continue to increase in absolute dollars, and we expect international revenue as a percentage of total net revenue will be comparable in the foreseeable future.</w:t>
      </w:r>
    </w:p>
    <w:p>
      <w:pPr>
        <w:spacing w:after="0" w:line="64" w:lineRule="exact"/>
        <w:rPr>
          <w:rFonts w:ascii="Arial" w:cs="Arial" w:eastAsia="Arial" w:hAnsi="Arial"/>
          <w:sz w:val="17"/>
          <w:szCs w:val="17"/>
          <w:color w:val="auto"/>
        </w:rPr>
      </w:pPr>
    </w:p>
    <w:p>
      <w:pPr>
        <w:ind w:left="180" w:right="60" w:hanging="172"/>
        <w:spacing w:after="0" w:line="279" w:lineRule="auto"/>
        <w:tabs>
          <w:tab w:leader="none" w:pos="1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Increasing Reliance on International Manufacturing Operations. </w:t>
      </w:r>
      <w:r>
        <w:rPr>
          <w:rFonts w:ascii="Arial" w:cs="Arial" w:eastAsia="Arial" w:hAnsi="Arial"/>
          <w:sz w:val="17"/>
          <w:szCs w:val="17"/>
          <w:color w:val="auto"/>
        </w:rPr>
        <w:t>Our manufacturing efficiency has been and will be an important factor in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profitability. Currently, two of our key production steps are performed in operations located outside of the U.S. At our facility in Costa Rica, dental technicians use a sophisticated, internally developed computer-modeling program to prepare electronic treatment plans, which are transmitted electronically back to the U.S. These electronic files form the basis of ClinCheck and are used to manufacture Aligner molds. In</w:t>
      </w:r>
    </w:p>
    <w:p>
      <w:pPr>
        <w:spacing w:after="0" w:line="38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line="271" w:lineRule="auto"/>
        <w:rPr>
          <w:sz w:val="20"/>
          <w:szCs w:val="20"/>
          <w:color w:val="auto"/>
        </w:rPr>
      </w:pPr>
      <w:r>
        <w:rPr>
          <w:rFonts w:ascii="Arial" w:cs="Arial" w:eastAsia="Arial" w:hAnsi="Arial"/>
          <w:sz w:val="17"/>
          <w:szCs w:val="17"/>
          <w:color w:val="auto"/>
        </w:rPr>
        <w:t xml:space="preserve">addition, we use IMS, a third party based in Juarez, Mexico, for the fabrication and packaging of Aligners. Our success will depend in part on the efforts and abilities of management to effectively manage these international operations, including our relationship with IMS. In addition, we currently are and will become increasingly dependant on IMS’s and our ability to hire and retain employees generally, as well as hire and retain employees with the necessary skills to perform the more technical aspects of our operations. If our management and/or IMS fail in any of these respects, we could experience production delays and lost or delayed revenue. In addition, even if we have case submissions in the manufacturing backlog, if for these or other reasons we do not have sufficient number of trained dental technicians in Costa Rica to create the ClinCheck treatment forms or if IMS is unable to ship our product to our customers on a timely basis, our revenue will be delayed or lost which will cause our operating results to fluctuate.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Part I, Item 1A—Risk Factors for risks related to our international operations</w:t>
      </w:r>
      <w:r>
        <w:rPr>
          <w:rFonts w:ascii="Arial" w:cs="Arial" w:eastAsia="Arial" w:hAnsi="Arial"/>
          <w:sz w:val="17"/>
          <w:szCs w:val="17"/>
          <w:color w:val="auto"/>
        </w:rPr>
        <w:t>.</w:t>
      </w:r>
    </w:p>
    <w:p>
      <w:pPr>
        <w:sectPr>
          <w:pgSz w:w="11900" w:h="16838" w:orient="portrait"/>
          <w:cols w:equalWidth="0" w:num="1">
            <w:col w:w="11040"/>
          </w:cols>
          <w:pgMar w:left="600" w:top="125" w:right="259" w:bottom="0" w:gutter="0" w:footer="0" w:header="0"/>
        </w:sectPr>
      </w:pPr>
    </w:p>
    <w:bookmarkStart w:id="25" w:name="page26"/>
    <w:bookmarkEnd w:id="25"/>
    <w:p>
      <w:pPr>
        <w:ind w:firstLine="360"/>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Effective January 1, 2006, we adopted Statement of Financial Accounting Standards No. 123 (Revised 2004),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(“FAS 123R”) using the modified prospective transition method, which requires the measurement and recognition of compensation expense for all share-based payment awards made to our employees and directors and employee stock purchases related to the Employee Stock Purchase Plan based on estimated fair values over the requisite service period. In accordance with the modified prospective method, our financial statements for the prior periods have not been restated to reflect and do not include the impact of FAS 123R. For the year ended December 31, 2006, stock-based compensation expense recognized in accordance with FAS 123R is as follows (in thousands):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-121920</wp:posOffset>
            </wp:positionV>
            <wp:extent cx="487934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79340" cy="14605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-130810</wp:posOffset>
            </wp:positionV>
            <wp:extent cx="487934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79340"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Total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-116205</wp:posOffset>
            </wp:positionV>
            <wp:extent cx="487934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79340" cy="16319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Years Ended December 31, 2006, 2005 and 2004:</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2080"/>
        <w:spacing w:after="0"/>
        <w:rPr>
          <w:sz w:val="20"/>
          <w:szCs w:val="20"/>
          <w:color w:val="auto"/>
        </w:rPr>
      </w:pPr>
      <w:r>
        <w:rPr>
          <w:rFonts w:ascii="Arial" w:cs="Arial" w:eastAsia="Arial" w:hAnsi="Arial"/>
          <w:sz w:val="14"/>
          <w:szCs w:val="14"/>
          <w:b w:val="1"/>
          <w:bCs w:val="1"/>
          <w:color w:val="auto"/>
        </w:rPr>
        <w:t>Year Ended</w:t>
      </w:r>
    </w:p>
    <w:p>
      <w:pPr>
        <w:jc w:val="center"/>
        <w:ind w:right="2080"/>
        <w:spacing w:after="0" w:line="221" w:lineRule="auto"/>
        <w:rPr>
          <w:sz w:val="20"/>
          <w:szCs w:val="20"/>
          <w:color w:val="auto"/>
        </w:rPr>
      </w:pPr>
      <w:r>
        <w:rPr>
          <w:rFonts w:ascii="Arial" w:cs="Arial" w:eastAsia="Arial" w:hAnsi="Arial"/>
          <w:sz w:val="14"/>
          <w:szCs w:val="14"/>
          <w:b w:val="1"/>
          <w:bCs w:val="1"/>
          <w:color w:val="auto"/>
        </w:rPr>
        <w:t>December 31, 2006</w:t>
      </w:r>
    </w:p>
    <w:tbl>
      <w:tblPr>
        <w:tblLayout w:type="fixed"/>
        <w:tblInd w:w="0" w:type="dxa"/>
        <w:tblCellMar>
          <w:top w:w="0" w:type="dxa"/>
          <w:left w:w="0" w:type="dxa"/>
          <w:bottom w:w="0" w:type="dxa"/>
          <w:right w:w="0" w:type="dxa"/>
        </w:tblCellMar>
      </w:tblPr>
      <w:tr>
        <w:trPr>
          <w:trHeight w:val="109"/>
        </w:trPr>
        <w:tc>
          <w:tcPr>
            <w:tcW w:w="1140" w:type="dxa"/>
            <w:vAlign w:val="bottom"/>
            <w:tcBorders>
              <w:top w:val="single" w:sz="8" w:color="auto"/>
            </w:tcBorders>
            <w:gridSpan w:val="5"/>
          </w:tcPr>
          <w:p>
            <w:pPr>
              <w:jc w:val="center"/>
              <w:ind w:right="220"/>
              <w:spacing w:after="0" w:line="109" w:lineRule="exact"/>
              <w:rPr>
                <w:sz w:val="20"/>
                <w:szCs w:val="20"/>
                <w:color w:val="auto"/>
              </w:rPr>
            </w:pPr>
            <w:r>
              <w:rPr>
                <w:rFonts w:ascii="Arial" w:cs="Arial" w:eastAsia="Arial" w:hAnsi="Arial"/>
                <w:sz w:val="12"/>
                <w:szCs w:val="12"/>
                <w:b w:val="1"/>
                <w:bCs w:val="1"/>
                <w:color w:val="auto"/>
              </w:rPr>
              <w:t>Stock-based</w:t>
            </w:r>
          </w:p>
        </w:tc>
        <w:tc>
          <w:tcPr>
            <w:tcW w:w="880" w:type="dxa"/>
            <w:vAlign w:val="bottom"/>
            <w:tcBorders>
              <w:top w:val="single" w:sz="8" w:color="auto"/>
            </w:tcBorders>
            <w:gridSpan w:val="3"/>
          </w:tcPr>
          <w:p>
            <w:pPr>
              <w:jc w:val="right"/>
              <w:ind w:right="210"/>
              <w:spacing w:after="0" w:line="109" w:lineRule="exact"/>
              <w:rPr>
                <w:sz w:val="20"/>
                <w:szCs w:val="20"/>
                <w:color w:val="auto"/>
              </w:rPr>
            </w:pPr>
            <w:r>
              <w:rPr>
                <w:rFonts w:ascii="Arial" w:cs="Arial" w:eastAsia="Arial" w:hAnsi="Arial"/>
                <w:sz w:val="12"/>
                <w:szCs w:val="12"/>
                <w:b w:val="1"/>
                <w:bCs w:val="1"/>
                <w:color w:val="auto"/>
              </w:rPr>
              <w:t>% of</w:t>
            </w:r>
          </w:p>
        </w:tc>
      </w:tr>
      <w:tr>
        <w:trPr>
          <w:trHeight w:val="162"/>
        </w:trPr>
        <w:tc>
          <w:tcPr>
            <w:tcW w:w="1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Compensation</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net revenues</w:t>
            </w:r>
          </w:p>
        </w:tc>
      </w:tr>
      <w:tr>
        <w:trPr>
          <w:trHeight w:val="195"/>
        </w:trPr>
        <w:tc>
          <w:tcPr>
            <w:tcW w:w="3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700</w:t>
            </w:r>
          </w:p>
        </w:tc>
        <w:tc>
          <w:tcPr>
            <w:tcW w:w="2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gridSpan w:val="3"/>
          </w:tcPr>
          <w:p>
            <w:pPr>
              <w:jc w:val="right"/>
              <w:ind w:right="70"/>
              <w:spacing w:after="0" w:line="195" w:lineRule="exact"/>
              <w:rPr>
                <w:sz w:val="20"/>
                <w:szCs w:val="20"/>
                <w:color w:val="auto"/>
              </w:rPr>
            </w:pPr>
            <w:r>
              <w:rPr>
                <w:rFonts w:ascii="Arial" w:cs="Arial" w:eastAsia="Arial" w:hAnsi="Arial"/>
                <w:sz w:val="18"/>
                <w:szCs w:val="18"/>
                <w:color w:val="auto"/>
              </w:rPr>
              <w:t>0.3%</w:t>
            </w:r>
          </w:p>
        </w:tc>
      </w:tr>
      <w:tr>
        <w:trPr>
          <w:trHeight w:val="216"/>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2,862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4,054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70"/>
              <w:spacing w:after="0"/>
              <w:rPr>
                <w:sz w:val="20"/>
                <w:szCs w:val="20"/>
                <w:color w:val="auto"/>
              </w:rPr>
            </w:pPr>
            <w:r>
              <w:rPr>
                <w:rFonts w:ascii="Arial" w:cs="Arial" w:eastAsia="Arial" w:hAnsi="Arial"/>
                <w:sz w:val="18"/>
                <w:szCs w:val="18"/>
                <w:color w:val="auto"/>
              </w:rPr>
              <w:t>2.0%</w:t>
            </w:r>
          </w:p>
        </w:tc>
      </w:tr>
      <w:tr>
        <w:trPr>
          <w:trHeight w:val="230"/>
        </w:trPr>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1,294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70"/>
              <w:spacing w:after="0"/>
              <w:rPr>
                <w:sz w:val="20"/>
                <w:szCs w:val="20"/>
                <w:color w:val="auto"/>
              </w:rPr>
            </w:pPr>
            <w:r>
              <w:rPr>
                <w:rFonts w:ascii="Arial" w:cs="Arial" w:eastAsia="Arial" w:hAnsi="Arial"/>
                <w:sz w:val="18"/>
                <w:szCs w:val="18"/>
                <w:color w:val="auto"/>
              </w:rPr>
              <w:t>0.6%</w:t>
            </w:r>
          </w:p>
        </w:tc>
      </w:tr>
      <w:tr>
        <w:trPr>
          <w:trHeight w:val="223"/>
        </w:trPr>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8,910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r>
      <w:tr>
        <w:trPr>
          <w:trHeight w:val="20"/>
        </w:trPr>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227" w:lineRule="exact"/>
        <w:rPr>
          <w:sz w:val="20"/>
          <w:szCs w:val="20"/>
          <w:color w:val="auto"/>
        </w:rPr>
      </w:pPr>
    </w:p>
    <w:p>
      <w:pPr>
        <w:sectPr>
          <w:pgSz w:w="11900" w:h="16838" w:orient="portrait"/>
          <w:cols w:equalWidth="0" w:num="2">
            <w:col w:w="6620" w:space="720"/>
            <w:col w:w="4080"/>
          </w:cols>
          <w:pgMar w:left="240" w:top="125" w:right="239" w:bottom="0" w:gutter="0" w:footer="0" w:header="0"/>
          <w:type w:val="continuous"/>
        </w:sectPr>
      </w:pPr>
    </w:p>
    <w:p>
      <w:pPr>
        <w:ind w:right="400" w:firstLine="360"/>
        <w:spacing w:after="0" w:line="279" w:lineRule="auto"/>
        <w:rPr>
          <w:sz w:val="20"/>
          <w:szCs w:val="20"/>
          <w:color w:val="auto"/>
        </w:rPr>
      </w:pPr>
      <w:r>
        <w:rPr>
          <w:rFonts w:ascii="Arial" w:cs="Arial" w:eastAsia="Arial" w:hAnsi="Arial"/>
          <w:sz w:val="17"/>
          <w:szCs w:val="17"/>
          <w:color w:val="auto"/>
        </w:rPr>
        <w:t>Our total net revenues decreased by $0.7 million or 0.4% to $206.4 million in 2006 compared to $207.1 million in 2005. The decline in total net revenues resulted from reduced revenues in the orthodontic channel offset by increases in the GP channel, international and other revenues. In 2006, the domestic orthodontic and GP channels were impacted by lower overall average selling prices due to new pricing initiatives and the full-year effect of our lower-priced Invisalign Express product, all of which were introduced in the second half of 2005.</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Invisalign product revenues by channel and other revenue, which represented training and sales of ancillary products for the years ended December 31, 2006, 2005 and 2004,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revenues</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center"/>
              <w:ind w:left="533"/>
              <w:spacing w:after="0"/>
              <w:rPr>
                <w:sz w:val="20"/>
                <w:szCs w:val="20"/>
                <w:color w:val="auto"/>
              </w:rPr>
            </w:pPr>
            <w:r>
              <w:rPr>
                <w:rFonts w:ascii="Arial" w:cs="Arial" w:eastAsia="Arial" w:hAnsi="Arial"/>
                <w:sz w:val="14"/>
                <w:szCs w:val="14"/>
                <w:b w:val="1"/>
                <w:bCs w:val="1"/>
                <w:color w:val="auto"/>
                <w:w w:val="91"/>
              </w:rPr>
              <w:t>Years Ended December 31,</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0" w:type="dxa"/>
            <w:vAlign w:val="bottom"/>
            <w:tcBorders>
              <w:bottom w:val="single" w:sz="8" w:color="auto"/>
            </w:tcBorders>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3"/>
              </w:rPr>
              <w:t>Change</w:t>
            </w:r>
          </w:p>
        </w:tc>
        <w:tc>
          <w:tcPr>
            <w:tcW w:w="1120" w:type="dxa"/>
            <w:vAlign w:val="bottom"/>
            <w:tcBorders>
              <w:bottom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72"/>
              <w:spacing w:after="0" w:line="129" w:lineRule="exact"/>
              <w:rPr>
                <w:sz w:val="20"/>
                <w:szCs w:val="20"/>
                <w:color w:val="auto"/>
              </w:rPr>
            </w:pPr>
            <w:r>
              <w:rPr>
                <w:rFonts w:ascii="Arial" w:cs="Arial" w:eastAsia="Arial" w:hAnsi="Arial"/>
                <w:sz w:val="14"/>
                <w:szCs w:val="14"/>
                <w:b w:val="1"/>
                <w:bCs w:val="1"/>
                <w:color w:val="auto"/>
                <w:w w:val="89"/>
              </w:rPr>
              <w:t>2005</w:t>
            </w:r>
          </w:p>
        </w:tc>
        <w:tc>
          <w:tcPr>
            <w:tcW w:w="3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color w:val="auto"/>
              </w:rPr>
              <w:t>Ortho full</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82.7</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Ortho Express(1)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Ortho revenues</w:t>
            </w: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GP full</w:t>
            </w: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gridSpan w:val="2"/>
            <w:vMerge w:val="continue"/>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color w:val="auto"/>
              </w:rPr>
              <w:t>GP Express(1)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GP revenues</w:t>
            </w: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Invisalign revenues</w:t>
            </w: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3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Invisalign Express was launched in the third quarter of 2005.</w:t>
      </w:r>
    </w:p>
    <w:p>
      <w:pPr>
        <w:spacing w:after="0" w:line="17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7"/>
          <w:szCs w:val="17"/>
          <w:color w:val="auto"/>
        </w:rPr>
        <w:t>Case volume data which represents Invisalign case shipment by channel, for the years ended December 31, 2006, 2005 and 2004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Case Volume</w:t>
            </w: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91"/>
              </w:rPr>
              <w:t>Years Ended December 31,</w:t>
            </w: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gridSpan w:val="3"/>
            <w:vMerge w:val="continue"/>
          </w:tcPr>
          <w:p>
            <w:pPr>
              <w:spacing w:after="0"/>
              <w:rPr>
                <w:sz w:val="11"/>
                <w:szCs w:val="11"/>
                <w:color w:val="auto"/>
              </w:rPr>
            </w:pPr>
          </w:p>
        </w:tc>
        <w:tc>
          <w:tcPr>
            <w:tcW w:w="60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1"/>
                <w:szCs w:val="11"/>
                <w:color w:val="auto"/>
              </w:rPr>
            </w:pPr>
          </w:p>
        </w:tc>
        <w:tc>
          <w:tcPr>
            <w:tcW w:w="100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9"/>
              </w:rPr>
              <w:t>Change</w:t>
            </w:r>
          </w:p>
        </w:tc>
        <w:tc>
          <w:tcPr>
            <w:tcW w:w="86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Change</w:t>
            </w:r>
          </w:p>
        </w:tc>
        <w:tc>
          <w:tcPr>
            <w:tcW w:w="900" w:type="dxa"/>
            <w:vAlign w:val="bottom"/>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1"/>
                <w:szCs w:val="11"/>
                <w:color w:val="auto"/>
              </w:rPr>
            </w:pPr>
          </w:p>
        </w:tc>
        <w:tc>
          <w:tcPr>
            <w:tcW w:w="7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Change</w:t>
            </w:r>
          </w:p>
        </w:tc>
        <w:tc>
          <w:tcPr>
            <w:tcW w:w="1280" w:type="dxa"/>
            <w:vAlign w:val="bottom"/>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rPr>
              <w:t>% Change</w:t>
            </w:r>
          </w:p>
        </w:tc>
        <w:tc>
          <w:tcPr>
            <w:tcW w:w="60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Domestic:</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ind w:left="360"/>
              <w:spacing w:after="0"/>
              <w:rPr>
                <w:sz w:val="20"/>
                <w:szCs w:val="20"/>
                <w:color w:val="auto"/>
              </w:rPr>
            </w:pPr>
            <w:r>
              <w:rPr>
                <w:rFonts w:ascii="Arial" w:cs="Arial" w:eastAsia="Arial" w:hAnsi="Arial"/>
                <w:sz w:val="18"/>
                <w:szCs w:val="18"/>
                <w:color w:val="auto"/>
              </w:rPr>
              <w:t>Ortho full</w:t>
            </w:r>
          </w:p>
        </w:tc>
        <w:tc>
          <w:tcPr>
            <w:tcW w:w="600" w:type="dxa"/>
            <w:vAlign w:val="bottom"/>
          </w:tcPr>
          <w:p>
            <w:pPr>
              <w:jc w:val="right"/>
              <w:spacing w:after="0"/>
              <w:rPr>
                <w:sz w:val="20"/>
                <w:szCs w:val="20"/>
                <w:color w:val="auto"/>
              </w:rPr>
            </w:pPr>
            <w:r>
              <w:rPr>
                <w:rFonts w:ascii="Arial" w:cs="Arial" w:eastAsia="Arial" w:hAnsi="Arial"/>
                <w:sz w:val="18"/>
                <w:szCs w:val="18"/>
                <w:color w:val="auto"/>
              </w:rPr>
              <w:t>41.8</w:t>
            </w:r>
          </w:p>
        </w:tc>
        <w:tc>
          <w:tcPr>
            <w:tcW w:w="4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(5.3)</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4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-7.3%</w:t>
            </w:r>
          </w:p>
        </w:tc>
        <w:tc>
          <w:tcPr>
            <w:tcW w:w="600" w:type="dxa"/>
            <w:vAlign w:val="bottom"/>
          </w:tcPr>
          <w:p>
            <w:pPr>
              <w:jc w:val="right"/>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Ortho Express(1)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ind w:left="180"/>
              <w:spacing w:after="0"/>
              <w:rPr>
                <w:sz w:val="20"/>
                <w:szCs w:val="20"/>
                <w:color w:val="auto"/>
              </w:rPr>
            </w:pPr>
            <w:r>
              <w:rPr>
                <w:rFonts w:ascii="Arial" w:cs="Arial" w:eastAsia="Arial" w:hAnsi="Arial"/>
                <w:sz w:val="18"/>
                <w:szCs w:val="18"/>
                <w:color w:val="auto"/>
              </w:rPr>
              <w:t>Total Ortho volume</w:t>
            </w: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3"/>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30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shd w:val="clear" w:color="auto" w:fill="CCEEFF"/>
          </w:tcPr>
          <w:p>
            <w:pPr>
              <w:ind w:left="360"/>
              <w:spacing w:after="0"/>
              <w:rPr>
                <w:sz w:val="20"/>
                <w:szCs w:val="20"/>
                <w:color w:val="auto"/>
              </w:rPr>
            </w:pPr>
            <w:r>
              <w:rPr>
                <w:rFonts w:ascii="Arial" w:cs="Arial" w:eastAsia="Arial" w:hAnsi="Arial"/>
                <w:sz w:val="18"/>
                <w:szCs w:val="18"/>
                <w:color w:val="auto"/>
              </w:rPr>
              <w:t>GP full</w:t>
            </w: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60" w:type="dxa"/>
            <w:vAlign w:val="bottom"/>
            <w:gridSpan w:val="3"/>
            <w:vMerge w:val="continue"/>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ind w:left="360"/>
              <w:spacing w:after="0"/>
              <w:rPr>
                <w:sz w:val="20"/>
                <w:szCs w:val="20"/>
                <w:color w:val="auto"/>
              </w:rPr>
            </w:pPr>
            <w:r>
              <w:rPr>
                <w:rFonts w:ascii="Arial" w:cs="Arial" w:eastAsia="Arial" w:hAnsi="Arial"/>
                <w:sz w:val="18"/>
                <w:szCs w:val="18"/>
                <w:color w:val="auto"/>
              </w:rPr>
              <w:t>GP Express(1)</w:t>
            </w:r>
          </w:p>
        </w:tc>
        <w:tc>
          <w:tcPr>
            <w:tcW w:w="600" w:type="dxa"/>
            <w:vAlign w:val="bottom"/>
          </w:tcPr>
          <w:p>
            <w:pPr>
              <w:jc w:val="right"/>
              <w:spacing w:after="0"/>
              <w:rPr>
                <w:sz w:val="20"/>
                <w:szCs w:val="20"/>
                <w:color w:val="auto"/>
              </w:rPr>
            </w:pPr>
            <w:r>
              <w:rPr>
                <w:rFonts w:ascii="Arial" w:cs="Arial" w:eastAsia="Arial" w:hAnsi="Arial"/>
                <w:sz w:val="18"/>
                <w:szCs w:val="18"/>
                <w:color w:val="auto"/>
              </w:rPr>
              <w:t>22.4</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w:t>
            </w:r>
          </w:p>
        </w:tc>
        <w:tc>
          <w:tcPr>
            <w:tcW w:w="5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color w:val="auto"/>
              </w:rPr>
              <w:t>Total GP volume</w:t>
            </w: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3"/>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w:t>
            </w:r>
          </w:p>
        </w:tc>
        <w:tc>
          <w:tcPr>
            <w:tcW w:w="3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International</w:t>
            </w: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60" w:type="dxa"/>
            <w:vAlign w:val="bottom"/>
            <w:gridSpan w:val="3"/>
            <w:vMerge w:val="continue"/>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4"/>
                <w:szCs w:val="2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52.8%</w:t>
            </w: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Total Invisalign volume</w:t>
            </w: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3"/>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3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Invisalign Express was launched in the third quarter of 2005.</w:t>
      </w:r>
    </w:p>
    <w:p>
      <w:pPr>
        <w:spacing w:after="0" w:line="17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Revenues from our domestic orthodontic channel decreased $16.8 million or 19.6% in 2006 compared to 2005 as a result of a decline in full Invisalign revenues of $24.3 million partially offset by a $7.5 million increase in Invisalign Express revenues. The decline in full Invisalign revenues is attributed to lower average selling prices and case volumes. In 2006 the reduced average selling price of the full Invisalign product reflects the full year impact of pricing initiatives introduced in the second half of 2005, including the reduction in the list price of our full Invisalign product and the expansion of our volume based discount program. Additionally, the increase in Invisalign Express revenue resulted from higher case volumes in 2006 compared to 2005, since this product was launched in the third quarter of 2005.</w:t>
      </w:r>
    </w:p>
    <w:p>
      <w:pPr>
        <w:sectPr>
          <w:pgSz w:w="11900" w:h="16838" w:orient="portrait"/>
          <w:cols w:equalWidth="0" w:num="1">
            <w:col w:w="11420"/>
          </w:cols>
          <w:pgMar w:left="240" w:top="125" w:right="239" w:bottom="0" w:gutter="0" w:footer="0" w:header="0"/>
          <w:type w:val="continuous"/>
        </w:sectPr>
      </w:pPr>
    </w:p>
    <w:bookmarkStart w:id="26" w:name="page27"/>
    <w:bookmarkEnd w:id="26"/>
    <w:p>
      <w:pPr>
        <w:ind w:right="260" w:firstLine="360"/>
        <w:spacing w:after="0" w:line="277" w:lineRule="auto"/>
        <w:rPr>
          <w:sz w:val="20"/>
          <w:szCs w:val="20"/>
          <w:color w:val="auto"/>
        </w:rPr>
      </w:pPr>
      <w:r>
        <w:rPr>
          <w:rFonts w:ascii="Arial" w:cs="Arial" w:eastAsia="Arial" w:hAnsi="Arial"/>
          <w:sz w:val="18"/>
          <w:szCs w:val="18"/>
          <w:color w:val="auto"/>
        </w:rPr>
        <w:t>Revenues from our domestic GP channel increased $4.8 million or 5.3% in 2006 compared to 2005 primarily due to an increase in Invisalign Express revenues of $12.4 million partially offset by a $7.6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decline in full Invisalign revenues. Invisalign Express revenues increased resulting from higher case volumes in 2006 compared to 2005, since this product was launched in the third quarter of 2005. The reduction in full Invisalign revenues is attributed to lower average selling prices which reflect the full year impact of the pricing initiatives mentioned above.</w:t>
      </w:r>
    </w:p>
    <w:p>
      <w:pPr>
        <w:spacing w:after="0" w:line="73" w:lineRule="exact"/>
        <w:rPr>
          <w:sz w:val="20"/>
          <w:szCs w:val="20"/>
          <w:color w:val="auto"/>
        </w:rPr>
      </w:pPr>
    </w:p>
    <w:p>
      <w:pPr>
        <w:ind w:right="180" w:firstLine="360"/>
        <w:spacing w:after="0" w:line="308" w:lineRule="auto"/>
        <w:rPr>
          <w:sz w:val="20"/>
          <w:szCs w:val="20"/>
          <w:color w:val="auto"/>
        </w:rPr>
      </w:pPr>
      <w:r>
        <w:rPr>
          <w:rFonts w:ascii="Arial" w:cs="Arial" w:eastAsia="Arial" w:hAnsi="Arial"/>
          <w:sz w:val="17"/>
          <w:szCs w:val="17"/>
          <w:color w:val="auto"/>
        </w:rPr>
        <w:t>International revenues increased $8.9 million or 38.3% in 2006 compared to 2005 primarily due to a significant increase in our international Invisalign case volumes partially offset by a lower average selling price as a result of pricing initiatives introduced in the first quarter of 2006.</w:t>
      </w:r>
    </w:p>
    <w:p>
      <w:pPr>
        <w:spacing w:after="0" w:line="38"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Other revenues, which primarily consisted of training and sales of ancillary products, increased $2.4 million in fiscal 2006 compared to 2005 mainly due to a $1.8 million increase in training revenues resulting from an increase in training fees.</w:t>
      </w:r>
    </w:p>
    <w:p>
      <w:pPr>
        <w:spacing w:after="0" w:line="6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Net revenue grew by 19.8% for the year ended December 31, 2005, compared to the year ended December 31, 2004. The growth in net revenues resulted primarily from an increase in overall case shipment volume in the domestic GP channel driven by an increase in the number of participating clinicians and the launch of Invisalign Express in the third quarter of 2005. Additionally, our international sales improved primarily as a result of increased number of participating clinicians and case utilization by our European practitioners.</w:t>
      </w:r>
    </w:p>
    <w:p>
      <w:pPr>
        <w:spacing w:after="0" w:line="79"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For fiscal year 2007, we expect our total net revenues will increase compared to 2006 primarily due to the anticipated case volume increases in our domestic orthodontic and GP channels, as well as in international markets. We expect our average selling price to be flat to slightly lower compared to 2006 primarily due to increased participation in our volume based discount programs.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revenues:</w:t>
      </w:r>
    </w:p>
    <w:p>
      <w:pPr>
        <w:spacing w:after="0" w:line="203"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4"/>
                <w:szCs w:val="14"/>
                <w:b w:val="1"/>
                <w:bCs w:val="1"/>
                <w:color w:val="auto"/>
                <w:w w:val="92"/>
              </w:rPr>
              <w:t>Years Ended December 31,</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2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w w:val="89"/>
              </w:rPr>
              <w:t>2006</w:t>
            </w:r>
          </w:p>
        </w:tc>
        <w:tc>
          <w:tcPr>
            <w:tcW w:w="700" w:type="dxa"/>
            <w:vAlign w:val="bottom"/>
            <w:tcBorders>
              <w:bottom w:val="single" w:sz="8" w:color="auto"/>
            </w:tcBorders>
            <w:gridSpan w:val="2"/>
          </w:tcPr>
          <w:p>
            <w:pPr>
              <w:jc w:val="right"/>
              <w:ind w:right="36"/>
              <w:spacing w:after="0" w:line="129" w:lineRule="exact"/>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254"/>
              <w:spacing w:after="0" w:line="129" w:lineRule="exact"/>
              <w:rPr>
                <w:sz w:val="20"/>
                <w:szCs w:val="20"/>
                <w:color w:val="auto"/>
              </w:rPr>
            </w:pPr>
            <w:r>
              <w:rPr>
                <w:rFonts w:ascii="Arial" w:cs="Arial" w:eastAsia="Arial" w:hAnsi="Arial"/>
                <w:sz w:val="14"/>
                <w:szCs w:val="14"/>
                <w:b w:val="1"/>
                <w:bCs w:val="1"/>
                <w:color w:val="auto"/>
                <w:w w:val="89"/>
              </w:rPr>
              <w:t>2005</w:t>
            </w:r>
          </w:p>
        </w:tc>
        <w:tc>
          <w:tcPr>
            <w:tcW w:w="70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1"/>
                <w:szCs w:val="11"/>
                <w:color w:val="auto"/>
              </w:rPr>
            </w:pPr>
          </w:p>
        </w:tc>
      </w:tr>
      <w:tr>
        <w:trPr>
          <w:trHeight w:val="129"/>
        </w:trPr>
        <w:tc>
          <w:tcPr>
            <w:tcW w:w="2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 of net revenues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r>
      <w:tr>
        <w:trPr>
          <w:trHeight w:val="324"/>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Gross profits</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8"/>
              </w:rPr>
              <w:t>141.6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8"/>
              </w:rPr>
              <w:t>143.3</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28.0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115.3</w:t>
            </w:r>
          </w:p>
        </w:tc>
        <w:tc>
          <w:tcPr>
            <w:tcW w:w="220" w:type="dxa"/>
            <w:vAlign w:val="bottom"/>
            <w:shd w:val="clear" w:color="auto" w:fill="CCEEFF"/>
          </w:tcPr>
          <w:p>
            <w:pPr>
              <w:spacing w:after="0"/>
              <w:rPr>
                <w:sz w:val="24"/>
                <w:szCs w:val="24"/>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 of net revenues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68.6%</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r>
    </w:tbl>
    <w:p>
      <w:pPr>
        <w:spacing w:after="0" w:line="241"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Cost of revenues includes salaries for staff involved in the production process, costs incurred by IMS, a third party shelter service provider in Juarez, Mexico, the cost of materials, packaging, shipping costs, depreciation on capital equipment used in the production process, training costs and stock-based compensation expense.</w:t>
      </w:r>
    </w:p>
    <w:p>
      <w:pPr>
        <w:spacing w:after="0" w:line="73"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Gross margin decreased to 68.6% of net revenues in 2006 compared to 69.2% in 2005 primarily due to lower average selling prices. This decline in average selling prices is attributable to the reduction in the list price of full Invisalign and increased sales of our lower priced Invisalign Express product. Reductions in product costs driven by increased volumes and manufacturing efficiencies including the relocation of the SLA mold operations to Juarez, Mexico, partially offset the impact of lower average selling prices. In addition, as a result of these efficiencies, we also released a $2.2 million provision for estimated losses on case refinement sales during fiscal 2006.</w:t>
      </w:r>
    </w:p>
    <w:p>
      <w:pPr>
        <w:spacing w:after="0" w:line="80"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Gross margin improved to 69.2% of net revenues for the fiscal year ended December 31, 2005, compared to 66.7% of net revenues for the year ended December 31, 2004. This improvement in gross margin is primarily the result of cost savings achieved from manufacturing process improvements and increased cost absorption due to higher production volumes partially offset by increased training costs as a result of dental professionals auditing training classes for no charge.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For the fiscal year 2007, we anticipate that our gross margin will be slightly higher compared to 2006 primarily due to impact of the expected increase in case volume and manufacturing efficiencies including a full year effect of the relocation of the SLA mold operations to Juarez, Mexico.</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Sales and marketing:</w:t>
      </w:r>
    </w:p>
    <w:p>
      <w:pPr>
        <w:spacing w:after="0" w:line="203" w:lineRule="exact"/>
        <w:rPr>
          <w:sz w:val="20"/>
          <w:szCs w:val="20"/>
          <w:color w:val="auto"/>
        </w:rPr>
      </w:pPr>
    </w:p>
    <w:tbl>
      <w:tblPr>
        <w:tblLayout w:type="fixed"/>
        <w:tblInd w:w="180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28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Borders>
              <w:bottom w:val="single" w:sz="8" w:color="auto"/>
            </w:tcBorders>
          </w:tcPr>
          <w:p>
            <w:pPr>
              <w:jc w:val="right"/>
              <w:ind w:right="188"/>
              <w:spacing w:after="0" w:line="129" w:lineRule="exact"/>
              <w:rPr>
                <w:sz w:val="20"/>
                <w:szCs w:val="20"/>
                <w:color w:val="auto"/>
              </w:rPr>
            </w:pPr>
            <w:r>
              <w:rPr>
                <w:rFonts w:ascii="Arial" w:cs="Arial" w:eastAsia="Arial" w:hAnsi="Arial"/>
                <w:sz w:val="14"/>
                <w:szCs w:val="14"/>
                <w:b w:val="1"/>
                <w:bCs w:val="1"/>
                <w:color w:val="auto"/>
              </w:rPr>
              <w:t>2006</w:t>
            </w:r>
          </w:p>
        </w:tc>
        <w:tc>
          <w:tcPr>
            <w:tcW w:w="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Change</w:t>
            </w:r>
          </w:p>
        </w:tc>
        <w:tc>
          <w:tcPr>
            <w:tcW w:w="860" w:type="dxa"/>
            <w:vAlign w:val="bottom"/>
            <w:tcBorders>
              <w:bottom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1"/>
                <w:szCs w:val="11"/>
                <w:color w:val="auto"/>
              </w:rPr>
            </w:pPr>
          </w:p>
        </w:tc>
      </w:tr>
      <w:tr>
        <w:trPr>
          <w:trHeight w:val="129"/>
        </w:trPr>
        <w:tc>
          <w:tcPr>
            <w:tcW w:w="28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$ 82.0</w:t>
            </w:r>
          </w:p>
        </w:tc>
        <w:tc>
          <w:tcPr>
            <w:tcW w:w="6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$ 1.9</w:t>
            </w: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$ 80.1</w:t>
            </w: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$ 24.2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$ 55.9</w:t>
            </w:r>
          </w:p>
        </w:tc>
        <w:tc>
          <w:tcPr>
            <w:tcW w:w="220" w:type="dxa"/>
            <w:vAlign w:val="bottom"/>
            <w:shd w:val="clear" w:color="auto" w:fill="CCEEFF"/>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 of net revenues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6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38.7%</w:t>
            </w:r>
          </w:p>
        </w:tc>
        <w:tc>
          <w:tcPr>
            <w:tcW w:w="6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r>
    </w:tbl>
    <w:p>
      <w:pPr>
        <w:spacing w:after="0" w:line="241"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Sales and marketing expense includes sales force compensation (combined with travel related costs and expenses for professional marketing programs), conducting workshops and market surveys, advertising, dental professional trade show attendance and stock-based compensation expense.</w:t>
      </w:r>
    </w:p>
    <w:p>
      <w:pPr>
        <w:spacing w:after="0" w:line="16" w:lineRule="exact"/>
        <w:rPr>
          <w:sz w:val="20"/>
          <w:szCs w:val="20"/>
          <w:color w:val="auto"/>
        </w:rPr>
      </w:pPr>
    </w:p>
    <w:p>
      <w:pPr>
        <w:ind w:right="280" w:firstLine="360"/>
        <w:spacing w:after="0" w:line="279" w:lineRule="auto"/>
        <w:rPr>
          <w:sz w:val="20"/>
          <w:szCs w:val="20"/>
          <w:color w:val="auto"/>
        </w:rPr>
      </w:pPr>
      <w:r>
        <w:rPr>
          <w:rFonts w:ascii="Arial" w:cs="Arial" w:eastAsia="Arial" w:hAnsi="Arial"/>
          <w:sz w:val="17"/>
          <w:szCs w:val="17"/>
          <w:color w:val="auto"/>
        </w:rPr>
        <w:t>Sales and marketing expense increased $1.9 million in 2006 compared to 2005 primarily due to a $2.8 million increase in payroll expense mainly attributable to an increase in headcount and the replacement of orthodontic sales representatives who left Align in the first half of 2005, and a $2.9 million increase in stock-based compensation expense. These increases were partially offset by a $3.9 million decrease in media, advertising and other marketing expenses due to the initial launch of our consumer marketing campaign in the second quarter of 2005.</w:t>
      </w:r>
    </w:p>
    <w:p>
      <w:pPr>
        <w:spacing w:after="0" w:line="63"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Sales and marketing expense increased by $24.2 million for the year ended December 31, 2005, compared to the year ended December 31, 2004. This increase was primarily related to incremental headcount which resulted in higher payroll costs of $10.3 million, $6.7 million related to increased advertising, media and trade show costs, an additional $4.8 million on outside services and other sales and marketing support costs, and $2.4 million of expenses</w:t>
      </w:r>
    </w:p>
    <w:p>
      <w:pPr>
        <w:sectPr>
          <w:pgSz w:w="11900" w:h="16838" w:orient="portrait"/>
          <w:cols w:equalWidth="0" w:num="1">
            <w:col w:w="11400"/>
          </w:cols>
          <w:pgMar w:left="240" w:top="125" w:right="259" w:bottom="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attributable to retention incentives and guarantees paid to our sales force in response to the solicitation of our sales force by OrthoClear during the first quarter of 2005.</w:t>
      </w:r>
    </w:p>
    <w:p>
      <w:pPr>
        <w:spacing w:after="0" w:line="62"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For fiscal 2007, we expect sales and marketing expense, including stock-based compensation, to be slightly higher than 2006, as we expand our international markets, continue to increase our investment in media programs and provide clinical education.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 and administrative:</w:t>
      </w:r>
    </w:p>
    <w:p>
      <w:pPr>
        <w:spacing w:after="0" w:line="203"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3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Borders>
              <w:bottom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2005</w:t>
            </w:r>
          </w:p>
        </w:tc>
        <w:tc>
          <w:tcPr>
            <w:tcW w:w="6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Change</w:t>
            </w:r>
          </w:p>
        </w:tc>
        <w:tc>
          <w:tcPr>
            <w:tcW w:w="620" w:type="dxa"/>
            <w:vAlign w:val="bottom"/>
            <w:tcBorders>
              <w:bottom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1"/>
                <w:szCs w:val="11"/>
                <w:color w:val="auto"/>
              </w:rPr>
            </w:pPr>
          </w:p>
        </w:tc>
      </w:tr>
      <w:tr>
        <w:trPr>
          <w:trHeight w:val="129"/>
        </w:trPr>
        <w:tc>
          <w:tcPr>
            <w:tcW w:w="3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9"/>
              </w:rPr>
              <w:t>(in millions)</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$ 64.3</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95"/>
              </w:rPr>
              <w:t>$ 22.1</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$ 42.2</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$ 8.3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$ 33.9</w:t>
            </w:r>
          </w:p>
        </w:tc>
        <w:tc>
          <w:tcPr>
            <w:tcW w:w="220" w:type="dxa"/>
            <w:vAlign w:val="bottom"/>
            <w:shd w:val="clear" w:color="auto" w:fill="CCEEFF"/>
          </w:tcPr>
          <w:p>
            <w:pPr>
              <w:spacing w:after="0"/>
              <w:rPr>
                <w:sz w:val="18"/>
                <w:szCs w:val="18"/>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 of net revenues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w:t>
            </w:r>
          </w:p>
        </w:tc>
        <w:tc>
          <w:tcPr>
            <w:tcW w:w="6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r>
    </w:tbl>
    <w:p>
      <w:pPr>
        <w:spacing w:after="0" w:line="241"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General and administrative expense includes salaries for administrative personnel, outside consulting services, legal expenses and stock-based compensation expense.</w:t>
      </w:r>
    </w:p>
    <w:p>
      <w:pPr>
        <w:spacing w:after="0" w:line="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General and administrative expense increased by $22.1 million in 2006 compared to 2005 primarily due to a $15.0 million increase in external legal fees primarily related to the OrthoClear litigation, a $3.8 million increase in payroll related expenses primarily resulting from the hiring of additional legal and administrative staff, and a $4.0 million increase in stock-based compensation expense. Partially offsetting these increases was a $0.8 million decrease in bad debt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color w:val="auto"/>
        </w:rPr>
        <w:t>General and administrative expense increased by $8.3 million for the year ended December 31, 2005, compared to the year ended December 31, 2004 primarily due to incremental expenses related to the OrthoClear litigation, which included a $5.8 million increase in external legal fees, a $1.3 million increase in consulting costs and a $3.2 million increase in payroll expense for employee retention and the hiring of additional legal staff. This increase was partially offset by a $2.6 million decrease in stock-based compensation expense in connection with the amortization of deferred stock-based compensation related to option grants prior to 2001.</w:t>
      </w:r>
    </w:p>
    <w:p>
      <w:pPr>
        <w:spacing w:after="0" w:line="80"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For fiscal year 2007, we expect that general and administrative expense will decrease from fiscal 2006 primarily as a result of the significant reduction in legal and other expenses following the settlement agreement we entered into with OrthoClear in the fourth quarter of 2006.</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Research and development:</w:t>
      </w:r>
    </w:p>
    <w:p>
      <w:pPr>
        <w:spacing w:after="0" w:line="203"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3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Borders>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2006</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2005</w:t>
            </w:r>
          </w:p>
        </w:tc>
        <w:tc>
          <w:tcPr>
            <w:tcW w:w="6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Change</w:t>
            </w:r>
          </w:p>
        </w:tc>
        <w:tc>
          <w:tcPr>
            <w:tcW w:w="620" w:type="dxa"/>
            <w:vAlign w:val="bottom"/>
            <w:tcBorders>
              <w:bottom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1"/>
                <w:szCs w:val="11"/>
                <w:color w:val="auto"/>
              </w:rPr>
            </w:pPr>
          </w:p>
        </w:tc>
      </w:tr>
      <w:tr>
        <w:trPr>
          <w:trHeight w:val="129"/>
        </w:trPr>
        <w:tc>
          <w:tcPr>
            <w:tcW w:w="3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9"/>
              </w:rPr>
              <w:t>(in millions)</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$ 18.5</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(0.1)</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$ 18.6</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$ 2.8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$ 15.8</w:t>
            </w:r>
          </w:p>
        </w:tc>
        <w:tc>
          <w:tcPr>
            <w:tcW w:w="220" w:type="dxa"/>
            <w:vAlign w:val="bottom"/>
            <w:shd w:val="clear" w:color="auto" w:fill="CCEEFF"/>
          </w:tcPr>
          <w:p>
            <w:pPr>
              <w:spacing w:after="0"/>
              <w:rPr>
                <w:sz w:val="18"/>
                <w:szCs w:val="18"/>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 of net revenues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6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bl>
    <w:p>
      <w:pPr>
        <w:spacing w:after="0" w:line="241"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Research and development expense includes the personnel costs associated with software engineering, the cost of designing, developing and testing our products, conducting clinical and post-marketing trials and stock-based compensation expense. We expense our research and development costs as they are incurred.</w:t>
      </w:r>
    </w:p>
    <w:p>
      <w:pPr>
        <w:spacing w:after="0" w:line="7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Research and development expense decreased $0.1 million in 2006 compared to 2005, primarily due to a $1.4 million decrease in temporary services and outside consulting expenses partially offset by $1.3 million increase in stock-based compensation.</w:t>
      </w:r>
    </w:p>
    <w:p>
      <w:pPr>
        <w:spacing w:after="0" w:line="62" w:lineRule="exact"/>
        <w:rPr>
          <w:sz w:val="20"/>
          <w:szCs w:val="20"/>
          <w:color w:val="auto"/>
        </w:rPr>
      </w:pPr>
    </w:p>
    <w:p>
      <w:pPr>
        <w:ind w:right="220" w:firstLine="360"/>
        <w:spacing w:after="0" w:line="312" w:lineRule="auto"/>
        <w:rPr>
          <w:sz w:val="20"/>
          <w:szCs w:val="20"/>
          <w:color w:val="auto"/>
        </w:rPr>
      </w:pPr>
      <w:r>
        <w:rPr>
          <w:rFonts w:ascii="Arial" w:cs="Arial" w:eastAsia="Arial" w:hAnsi="Arial"/>
          <w:sz w:val="16"/>
          <w:szCs w:val="16"/>
          <w:color w:val="auto"/>
        </w:rPr>
        <w:t>Research and development expense increased by $2.8 million for the year ended December 31, 2005, compared to the year ended December 31, 2004. The primary reasons for the higher expenses in 2005, compared to 2004, were an increase of $1.3 million in outside service and consulting expenses, $1.1 million of additional payroll related costs due to higher headcount and a $0.4 million increase in training and other research and development expenses.</w:t>
      </w:r>
    </w:p>
    <w:p>
      <w:pPr>
        <w:spacing w:after="0" w:line="3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For fiscal 2007, we expect research and development spending to increase from fiscal 2006 as we continue to invest in research and development efforts to bring new products to market, conduct clinical research and focus on product improvement initiatives.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Patients First Program and settlement costs:</w:t>
      </w:r>
    </w:p>
    <w:p>
      <w:pPr>
        <w:spacing w:after="0" w:line="203"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3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Borders>
              <w:bottom w:val="single" w:sz="8" w:color="auto"/>
            </w:tcBorders>
          </w:tcPr>
          <w:p>
            <w:pPr>
              <w:jc w:val="right"/>
              <w:ind w:right="248"/>
              <w:spacing w:after="0" w:line="129" w:lineRule="exact"/>
              <w:rPr>
                <w:sz w:val="20"/>
                <w:szCs w:val="20"/>
                <w:color w:val="auto"/>
              </w:rPr>
            </w:pPr>
            <w:r>
              <w:rPr>
                <w:rFonts w:ascii="Arial" w:cs="Arial" w:eastAsia="Arial" w:hAnsi="Arial"/>
                <w:sz w:val="14"/>
                <w:szCs w:val="14"/>
                <w:b w:val="1"/>
                <w:bCs w:val="1"/>
                <w:color w:val="auto"/>
              </w:rPr>
              <w:t>2006</w:t>
            </w:r>
          </w:p>
        </w:tc>
        <w:tc>
          <w:tcPr>
            <w:tcW w:w="60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2005</w:t>
            </w:r>
          </w:p>
        </w:tc>
        <w:tc>
          <w:tcPr>
            <w:tcW w:w="700" w:type="dxa"/>
            <w:vAlign w:val="bottom"/>
            <w:tcBorders>
              <w:bottom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9"/>
              </w:rPr>
              <w:t>Change</w:t>
            </w:r>
          </w:p>
        </w:tc>
        <w:tc>
          <w:tcPr>
            <w:tcW w:w="600" w:type="dxa"/>
            <w:vAlign w:val="bottom"/>
            <w:tcBorders>
              <w:bottom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1"/>
                <w:szCs w:val="11"/>
                <w:color w:val="auto"/>
              </w:rPr>
            </w:pPr>
          </w:p>
        </w:tc>
      </w:tr>
      <w:tr>
        <w:trPr>
          <w:trHeight w:val="129"/>
        </w:trPr>
        <w:tc>
          <w:tcPr>
            <w:tcW w:w="3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Patients First Program and settlement costs</w:t>
            </w:r>
          </w:p>
        </w:tc>
        <w:tc>
          <w:tcPr>
            <w:tcW w:w="13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$ 14.3</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$ 14.3</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center"/>
              <w:ind w:right="39"/>
              <w:spacing w:after="0"/>
              <w:rPr>
                <w:sz w:val="20"/>
                <w:szCs w:val="20"/>
                <w:color w:val="auto"/>
              </w:rPr>
            </w:pPr>
            <w:r>
              <w:rPr>
                <w:rFonts w:ascii="Arial" w:cs="Arial" w:eastAsia="Arial" w:hAnsi="Arial"/>
                <w:sz w:val="18"/>
                <w:szCs w:val="18"/>
                <w:color w:val="auto"/>
                <w:w w:val="90"/>
              </w:rPr>
              <w:t>$ —</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 of net revenues</w:t>
            </w:r>
          </w:p>
        </w:tc>
        <w:tc>
          <w:tcPr>
            <w:tcW w:w="1300" w:type="dxa"/>
            <w:vAlign w:val="bottom"/>
            <w:gridSpan w:val="2"/>
          </w:tcPr>
          <w:p>
            <w:pPr>
              <w:jc w:val="right"/>
              <w:ind w:right="8"/>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20"/>
                <w:szCs w:val="20"/>
                <w:color w:val="auto"/>
              </w:rPr>
            </w:pPr>
          </w:p>
        </w:tc>
        <w:tc>
          <w:tcPr>
            <w:tcW w:w="88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Patients First Program and settlement costs consisted of a $8.3 million charge for anticipated costs of Patients First Program combined with $6.0 million in settlement cost, for a total of $14.3 million. This amount is separately disclosed on our December 31, 2006 Consolidated Statement of Operations.</w:t>
      </w:r>
    </w:p>
    <w:p>
      <w:pPr>
        <w:spacing w:after="0" w:line="16"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As part of the OrthoClear Agreement, OrthoClear agreed to stop the importation of aligners into the United States and discontinue all aligner business operations worldwide. As a result, most OrthoClear patients were unable to complete their orthodontic treatment with OrthoClear. In an attempt to help</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minimize treatment disruptions for the OrthoClear patients and their doctors, we committed to make treatment available to these patients at no additional cost under the “Patients First Program”. We will receive no revenue for the program, and will incur significant expense to complete these cases. In the fourth quarter of 2006, we recorded an $8.3 million charge for the anticipated costs of completing this program in accordance with FASB Statement 5, “Accounting for Contingencies” (“FAS 5”). This amount is based on the number of OrthoClear cases registered under the Patients First Program as of December 31, 2006</w:t>
      </w:r>
    </w:p>
    <w:p>
      <w:pPr>
        <w:sectPr>
          <w:pgSz w:w="11900" w:h="16838" w:orient="portrait"/>
          <w:cols w:equalWidth="0" w:num="1">
            <w:col w:w="11420"/>
          </w:cols>
          <w:pgMar w:left="240" w:top="125" w:right="239" w:bottom="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t>and the estimated costs that will be incurred to fulfill our obligations as a result of this program. If the actual number of OrthoClear cases under the program changes or the actual costs differs significantly from our estimates, we would be required to adjust the accrual for the Patients First Program, and it could materially impact our financial statements. We currently anticipate that we will be able to complete the Patients First Program by the end of the second quarter of fiscal 2007.</w:t>
      </w:r>
    </w:p>
    <w:p>
      <w:pPr>
        <w:spacing w:after="0" w:line="79" w:lineRule="exact"/>
        <w:rPr>
          <w:sz w:val="20"/>
          <w:szCs w:val="20"/>
          <w:color w:val="auto"/>
        </w:rPr>
      </w:pPr>
    </w:p>
    <w:p>
      <w:pPr>
        <w:ind w:right="280" w:firstLine="360"/>
        <w:spacing w:after="0" w:line="279" w:lineRule="auto"/>
        <w:rPr>
          <w:sz w:val="20"/>
          <w:szCs w:val="20"/>
          <w:color w:val="auto"/>
        </w:rPr>
      </w:pPr>
      <w:r>
        <w:rPr>
          <w:rFonts w:ascii="Arial" w:cs="Arial" w:eastAsia="Arial" w:hAnsi="Arial"/>
          <w:sz w:val="17"/>
          <w:szCs w:val="17"/>
          <w:color w:val="auto"/>
        </w:rPr>
        <w:t>We paid $20.0 million to OrthoClear during the fourth quarter of 2006 in accordance with the terms of the OrthoClear Agreement, of which $14.0 million was capitalized on our balance sheet representing the fair value of the non-compete agreements and is being amortized over 5 years. In accordance with Emerging Issues Task Force 04-01 “Accounting for Pre-existing Contractual Relationships between the Parties to a Purchase Business Combination” (EITF 04-01), we recorded the remaining $6.0 million as settlement costs in the fourth quarter of fiscal 2006.</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10"/>
          </w:tcPr>
          <w:p>
            <w:pPr>
              <w:jc w:val="right"/>
              <w:ind w:right="400"/>
              <w:spacing w:after="0"/>
              <w:rPr>
                <w:sz w:val="20"/>
                <w:szCs w:val="20"/>
                <w:color w:val="auto"/>
              </w:rPr>
            </w:pPr>
            <w:r>
              <w:rPr>
                <w:rFonts w:ascii="Arial" w:cs="Arial" w:eastAsia="Arial" w:hAnsi="Arial"/>
                <w:sz w:val="14"/>
                <w:szCs w:val="14"/>
                <w:b w:val="1"/>
                <w:bCs w:val="1"/>
                <w:color w:val="auto"/>
                <w:w w:val="93"/>
              </w:rPr>
              <w:t>Years Ended December 31,</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3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4"/>
          </w:tcPr>
          <w:p>
            <w:pPr>
              <w:ind w:left="100"/>
              <w:spacing w:after="0" w:line="129" w:lineRule="exact"/>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4"/>
          </w:tcPr>
          <w:p>
            <w:pPr>
              <w:ind w:left="60"/>
              <w:spacing w:after="0" w:line="129" w:lineRule="exact"/>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gridSpan w:val="2"/>
          </w:tcPr>
          <w:p>
            <w:pPr>
              <w:jc w:val="right"/>
              <w:ind w:right="10"/>
              <w:spacing w:after="0" w:line="129"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1"/>
                <w:szCs w:val="11"/>
                <w:color w:val="auto"/>
              </w:rPr>
            </w:pPr>
          </w:p>
        </w:tc>
      </w:tr>
      <w:tr>
        <w:trPr>
          <w:trHeight w:val="129"/>
        </w:trPr>
        <w:tc>
          <w:tcPr>
            <w:tcW w:w="3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99"/>
              </w:rPr>
              <w:t>(in millions)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(0.1)</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(1.1)</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interest and other, net</w:t>
            </w:r>
          </w:p>
        </w:tc>
        <w:tc>
          <w:tcPr>
            <w:tcW w:w="1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Interest and other income (expense), net, includes interest income earned on cash balances, interest expense on debt, foreign currency translation gains and losses for the dollar against other currencies related to international businesses and other miscellaneous charges.</w:t>
      </w:r>
    </w:p>
    <w:p>
      <w:pPr>
        <w:spacing w:after="0" w:line="62"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Interest income (expense), net for the year ended December 31, 2006 increased $1.1 million compared to 2005. The increase was primarily due to increased interest income as a result of higher effective interest rates.</w:t>
      </w:r>
    </w:p>
    <w:p>
      <w:pPr>
        <w:spacing w:after="0" w:line="6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Other income (expense) increased $2.0 million in 2006 compared to 2005, primarily due to a $2.1 million increase in foreign currency translation gains resulted primarily from the remeasurement of foreign currency denominated assets and liabilities.</w:t>
      </w:r>
    </w:p>
    <w:p>
      <w:pPr>
        <w:spacing w:after="0" w:line="62"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Interest and other income and expenses for the year ended December 31, 2005, included interest income of $1.9 million, which resulted from higher interest rates and average cash balances during 2005, offset by exchange losses of $1.0 million and $0.6 million of interest expense, bank charges and other expense.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Income tax provision:</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2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6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2006</w:t>
            </w:r>
          </w:p>
        </w:tc>
        <w:tc>
          <w:tcPr>
            <w:tcW w:w="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Change</w:t>
            </w:r>
          </w:p>
        </w:tc>
        <w:tc>
          <w:tcPr>
            <w:tcW w:w="860" w:type="dxa"/>
            <w:vAlign w:val="bottom"/>
            <w:tcBorders>
              <w:bottom w:val="single" w:sz="8" w:color="auto"/>
            </w:tcBorders>
          </w:tcPr>
          <w:p>
            <w:pPr>
              <w:jc w:val="right"/>
              <w:ind w:right="242"/>
              <w:spacing w:after="0" w:line="129" w:lineRule="exact"/>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1"/>
                <w:szCs w:val="11"/>
                <w:color w:val="auto"/>
              </w:rPr>
            </w:pPr>
          </w:p>
        </w:tc>
      </w:tr>
      <w:tr>
        <w:trPr>
          <w:trHeight w:val="129"/>
        </w:trPr>
        <w:tc>
          <w:tcPr>
            <w:tcW w:w="2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(0.8)</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$ 0.5</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 (1.3)</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(1.0)</w:t>
            </w:r>
          </w:p>
        </w:tc>
      </w:tr>
      <w:tr>
        <w:trPr>
          <w:trHeight w:val="702"/>
        </w:trPr>
        <w:tc>
          <w:tcPr>
            <w:tcW w:w="2860" w:type="dxa"/>
            <w:vAlign w:val="bottom"/>
          </w:tcPr>
          <w:p>
            <w:pPr>
              <w:spacing w:after="0"/>
              <w:rPr>
                <w:sz w:val="24"/>
                <w:szCs w:val="24"/>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We recorded an income tax provision of $0.8 million for fiscal 2006, $1.3 million for fiscal 2005 and $1.0 million in fiscal 2004, representing effective tax rates of -2.4%, 48.2% and 10.2% for 2006, 2005 and 2004, respectively. As of December 31, 2006, we have recorded a full valuation allowance for our existing deferred tax assets due to uncertainties about whether we will be able to utilize these assets before they expire. As a result, our income tax provision is based upon our operating results for each taxable jurisdiction in which we operate and the amount of statutory tax that we incur in each jurisdiction.</w:t>
      </w:r>
    </w:p>
    <w:p>
      <w:pPr>
        <w:spacing w:after="0" w:line="46"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At December 31, 2006, we had net operating loss carryforwards of approximately $214.9 million for federal tax purposes and $73.5 million for California state tax purposes. If not utilized, these carryforwards will begin to expire in 2017 for federal purposes and 2007 for California purposes. SFAS 123R prohibits recognition of a deferred income tax asset for excess tax benefits due to stock option exercises that have not yet been realized through a reduction in income taxes payable. Such unrecognized deferred tax benefits totaled $14.1 million as of December 31, 2006 and will be accounted for as a credit to additional paid-in capital, if and when realized through a reduction in income taxes payable. The Internal Revenue Code imposes an annual limitation on the use of a corporation’s tax attributes if a corporation undergoes an ownership change for tax purposes. If an ownership change is determined to have occurred, our ability to use the net operating loss carryforwards would be subject to an annual limitation. However, based on our current estimate of the total net operating losses at December 31, 2006 and our current estimate of the annual limitation, we do not expect our net operating loss carryforwards to be limited. At December 31, 2006, we had research credit carryforwards of approximately $4.0 million for federal purposes and $5.4 million for California state tax purposes. If not utilized, the federal credit carryforwards will begin to expire in 2017. The California state credit can be carried forward indefinitely.</w:t>
      </w:r>
    </w:p>
    <w:p>
      <w:pPr>
        <w:spacing w:after="0" w:line="6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We have not provided additional U.S. income taxes on undistributed earnings from non- U.S. operations as of December 31, 2006 because such earnings are intended to be reinvested indefinitely outside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40" w:firstLine="360"/>
        <w:spacing w:after="0" w:line="342" w:lineRule="auto"/>
        <w:rPr>
          <w:sz w:val="20"/>
          <w:szCs w:val="20"/>
          <w:color w:val="auto"/>
        </w:rPr>
      </w:pPr>
      <w:r>
        <w:rPr>
          <w:rFonts w:ascii="Arial" w:cs="Arial" w:eastAsia="Arial" w:hAnsi="Arial"/>
          <w:sz w:val="16"/>
          <w:szCs w:val="16"/>
          <w:color w:val="auto"/>
        </w:rPr>
        <w:t>We fund our operations from the proceeds of the sale of our common stock, from cash generated from sales of our product and occasional borrowing under available credit facilities. As of December 31, 2006, 2005 and 2004, we had the following cash, cash equivalents and short-term investments:</w:t>
      </w:r>
    </w:p>
    <w:p>
      <w:pPr>
        <w:spacing w:after="0" w:line="102"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3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2"/>
              </w:rPr>
              <w:t>Years Ended December 31,</w:t>
            </w:r>
          </w:p>
        </w:tc>
      </w:tr>
      <w:tr>
        <w:trPr>
          <w:trHeight w:val="129"/>
        </w:trPr>
        <w:tc>
          <w:tcPr>
            <w:tcW w:w="52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2006</w:t>
            </w:r>
          </w:p>
        </w:tc>
        <w:tc>
          <w:tcPr>
            <w:tcW w:w="840" w:type="dxa"/>
            <w:vAlign w:val="bottom"/>
            <w:tcBorders>
              <w:top w:val="single" w:sz="8" w:color="auto"/>
              <w:bottom w:val="single" w:sz="8" w:color="auto"/>
            </w:tcBorders>
            <w:gridSpan w:val="2"/>
          </w:tcPr>
          <w:p>
            <w:pPr>
              <w:jc w:val="center"/>
              <w:ind w:left="119"/>
              <w:spacing w:after="0" w:line="129"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1"/>
                <w:szCs w:val="11"/>
                <w:color w:val="auto"/>
              </w:rPr>
            </w:pPr>
          </w:p>
        </w:tc>
      </w:tr>
      <w:tr>
        <w:trPr>
          <w:trHeight w:val="129"/>
        </w:trPr>
        <w:tc>
          <w:tcPr>
            <w:tcW w:w="5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$ 55,113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$ 74,219</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$ 69,659</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Restricted cash</w:t>
            </w: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Total cash, cash equivalents and short-term investments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$ 64,137</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$ 74,369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$ 69,962</w:t>
            </w:r>
          </w:p>
        </w:tc>
        <w:tc>
          <w:tcPr>
            <w:tcW w:w="4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Net cash used in operating activities for the year ended December 31, 2006 was $14.0 million, resulting primarily from our operating loss of $35.0 million adjusted for non-cash items such as depreciation and amortization and stock-based compensation totaling $19.2 million. Additionally, a $6.4 million increase in current assets and a $5.8 million reduction in deferred revenue partially offset by a $14.3 million increase in accounts payable and accrued liabilities also contributed to the cash used in operating activities.</w:t>
      </w:r>
    </w:p>
    <w:p>
      <w:pPr>
        <w:sectPr>
          <w:pgSz w:w="11900" w:h="16838" w:orient="portrait"/>
          <w:cols w:equalWidth="0" w:num="1">
            <w:col w:w="11420"/>
          </w:cols>
          <w:pgMar w:left="240" w:top="125" w:right="239" w:bottom="0" w:gutter="0" w:footer="0" w:header="0"/>
        </w:sectPr>
      </w:pPr>
    </w:p>
    <w:bookmarkStart w:id="29" w:name="page30"/>
    <w:bookmarkEnd w:id="29"/>
    <w:p>
      <w:pPr>
        <w:ind w:right="300" w:firstLine="360"/>
        <w:spacing w:after="0" w:line="277" w:lineRule="auto"/>
        <w:rPr>
          <w:sz w:val="20"/>
          <w:szCs w:val="20"/>
          <w:color w:val="auto"/>
        </w:rPr>
      </w:pPr>
      <w:r>
        <w:rPr>
          <w:rFonts w:ascii="Arial" w:cs="Arial" w:eastAsia="Arial" w:hAnsi="Arial"/>
          <w:sz w:val="18"/>
          <w:szCs w:val="18"/>
          <w:color w:val="auto"/>
        </w:rPr>
        <w:t>Net cash provided by operating activities for the year ended December 31, 2005, was $16.1 million, primarily from operating profits adjusted for non cash items and increases in accrued liabilities partially offset by reductions in accounts payable.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firstLine="360"/>
        <w:spacing w:after="0" w:line="279" w:lineRule="auto"/>
        <w:rPr>
          <w:sz w:val="20"/>
          <w:szCs w:val="20"/>
          <w:color w:val="auto"/>
        </w:rPr>
      </w:pPr>
      <w:r>
        <w:rPr>
          <w:rFonts w:ascii="Arial" w:cs="Arial" w:eastAsia="Arial" w:hAnsi="Arial"/>
          <w:sz w:val="17"/>
          <w:szCs w:val="17"/>
          <w:color w:val="auto"/>
        </w:rPr>
        <w:t>Net cash used in investing activities was $32.8 million for the year ended December 31, 2006, primarily due to a $14.0 million purchase of intangible assets resulting from the OrthoClear Agreement, $10.0 million for the purchase of capital assets and $8.9 million net purchase of short-term marketable securities. We used $15.3 million of cash for our investing activities during the year ended December 31, 2005. This included $13.8 million of cash used to purchase capital assets, and $0.9 million of net cash used to purchase General Orthodontics, LLC.</w:t>
      </w:r>
    </w:p>
    <w:p>
      <w:pPr>
        <w:spacing w:after="0" w:line="63"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Net cash provided by financing activities was $27.7 million for the year ended December 31, 2006 and primarily consisted of $16.2 million in proceeds from the issuance of common stock, primarily from exercises of employee stock options and $11.5 million in net proceeds from our line of credit. Net cash provided by financing activities was $3.7 million for the year ended December 31, 2005, which consisted of proceeds from the issuance of common stock, primarily from exercises of employee stock options, partially offset by payments on debt obligations related to the equipment-based term loan and capital lease obligations.</w:t>
      </w:r>
    </w:p>
    <w:p>
      <w:pPr>
        <w:spacing w:after="0" w:line="80"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Net proceeds from the issuance of common stock related to the exercise of employee stock options have historically been a significant component of our liquidity. However, in 2006, we began granting RSUs which, unlike stock options, do not generate cash from exercise. In addition, because RSUs are taxable to the individuals when they vest, the number of shares we issued to each of our executive officers will be net of applicable payroll withholding taxes which taxes will be paid by us on their behalf. As a result, we will likely generate less cash from the proceeds of the sale of our common stock in future periods.</w:t>
      </w:r>
    </w:p>
    <w:p>
      <w:pPr>
        <w:spacing w:after="0" w:line="46"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In December 2005, we renegotiated and amended our existing revolving line of credit to increase the available borrowings under the then existing revolving line to $20.0 million. Included in the revolving line of credit is a letter of credit facility of up to $5 million, a foreign exchange facility of up to $5 million and an equipment facility of up to $10 million. We may elect interest rates on our borrowing calculated by reference to bank’s prime rate less one-half of one percent or LIBOR plus two percent. The credit facility matures on December 16, 2007, at which time all outstanding borrowings must be repaid. The credit facility contains certain restrictive loan covenants, including, among others, financial covenants requiring a minimum quick ratio and minimum tangible net worth, and covenants limiting our ability to dispose of assets, make acquisitions, be acquired, incur indebtedness, grant liens, make investments, pay dividends and repurchase stock. In December 2006, we amended our credit agreement whereby the only financial covenant for the fourth quarter of 2006 was a certain minimum cash balance. As of December 31, 2006, we are in compliance with the financial covenant of these credit facilities.</w:t>
      </w:r>
    </w:p>
    <w:p>
      <w:pPr>
        <w:spacing w:after="0" w:line="58"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During the third quarter of 2006, we borrowed $15.0 million against these credit facilities and made a $20.0 million one-time payment to OrthoClear Holdings, Inc in accordance with the terms of the OrthoClear Agreement. We elected LIBOR plus two percent as an interest rate of 7.29% as of December 31, 2006. We repaid $3.5 million of this borrowing in the fourth quarter of 2006, the outstanding balance as of December 31, 2006 was $11.5 million and is classified as current liability.</w:t>
      </w:r>
    </w:p>
    <w:p>
      <w:pPr>
        <w:spacing w:after="0" w:line="79"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On March 7, 2007, we renegotiated and amended our existing credit facility with Comerica Bank. The amendment, among other things, reduced financial covenants to require only a quick ratio covenant. Additionally, the amendment also increased the available borrowings under the existing revolving line of credit from $20 million to $25 million effective January 1, 2008. The amended credit facility matures on December 31, 2008 at which point all outstanding borrowing under this credit facility must be repaid.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 Off Balance Sheet Arrangements</w:t>
      </w:r>
    </w:p>
    <w:p>
      <w:pPr>
        <w:spacing w:after="0" w:line="11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impact that our contractual obligations as of December 31, 2006 are expected to have on our liquidity and cash flow in future periods is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8"/>
                <w:szCs w:val="8"/>
                <w:color w:val="auto"/>
              </w:rPr>
            </w:pPr>
          </w:p>
        </w:tc>
        <w:tc>
          <w:tcPr>
            <w:tcW w:w="1280" w:type="dxa"/>
            <w:vAlign w:val="bottom"/>
            <w:gridSpan w:val="4"/>
          </w:tcPr>
          <w:p>
            <w:pPr>
              <w:jc w:val="center"/>
              <w:ind w:right="640"/>
              <w:spacing w:after="0" w:line="102" w:lineRule="exact"/>
              <w:rPr>
                <w:sz w:val="20"/>
                <w:szCs w:val="20"/>
                <w:color w:val="auto"/>
              </w:rPr>
            </w:pPr>
            <w:r>
              <w:rPr>
                <w:rFonts w:ascii="Arial" w:cs="Arial" w:eastAsia="Arial" w:hAnsi="Arial"/>
                <w:sz w:val="11"/>
                <w:szCs w:val="11"/>
                <w:b w:val="1"/>
                <w:bCs w:val="1"/>
                <w:color w:val="auto"/>
              </w:rPr>
              <w:t>Less than</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1-3 Years</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920" w:type="dxa"/>
            <w:vAlign w:val="bottom"/>
            <w:gridSpan w:val="5"/>
          </w:tcPr>
          <w:p>
            <w:pPr>
              <w:jc w:val="center"/>
              <w:ind w:right="20"/>
              <w:spacing w:after="0" w:line="102" w:lineRule="exact"/>
              <w:rPr>
                <w:sz w:val="20"/>
                <w:szCs w:val="20"/>
                <w:color w:val="auto"/>
              </w:rPr>
            </w:pPr>
            <w:r>
              <w:rPr>
                <w:rFonts w:ascii="Arial" w:cs="Arial" w:eastAsia="Arial" w:hAnsi="Arial"/>
                <w:sz w:val="11"/>
                <w:szCs w:val="11"/>
                <w:b w:val="1"/>
                <w:bCs w:val="1"/>
                <w:color w:val="auto"/>
              </w:rPr>
              <w:t>More than</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5"/>
              </w:rPr>
              <w:t>1 Year</w:t>
            </w: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9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Principal payment on line of credit</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040" w:type="dxa"/>
            <w:vAlign w:val="bottom"/>
            <w:gridSpan w:val="2"/>
          </w:tcPr>
          <w:p>
            <w:pPr>
              <w:spacing w:after="0"/>
              <w:rPr>
                <w:sz w:val="20"/>
                <w:szCs w:val="20"/>
                <w:color w:val="auto"/>
              </w:rPr>
            </w:pPr>
            <w:r>
              <w:rPr>
                <w:rFonts w:ascii="Arial" w:cs="Arial" w:eastAsia="Arial" w:hAnsi="Arial"/>
                <w:sz w:val="18"/>
                <w:szCs w:val="18"/>
                <w:color w:val="auto"/>
              </w:rPr>
              <w:t>Other contractual obligations: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Computer support services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contractual obligation</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4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19,418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15,260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3,691</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Includes an early termination fee on facility in Amsterdam, The Netherlands. The lease expires in 2014 with an option to cancel in 2009.</w:t>
      </w:r>
    </w:p>
    <w:p>
      <w:pPr>
        <w:spacing w:after="0" w:line="117"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We have no significant contractual obligations not fully recorded on our consolidated balance sheets or fully disclosed in the notes to our consolidated financial statements. We had no off-balance sheet arrangements as defined in Regulation S-K Item 303(a)(4) as of December 31, 2006.</w:t>
      </w:r>
    </w:p>
    <w:p>
      <w:pPr>
        <w:spacing w:after="0" w:line="16"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We expect that our expense levels for 2007 will remain comparable to 2006, depending on our level of business activity. We expect that any increases will be focused on continued marketing and international sales efforts and research and development expenses as we develop new products and improvements to our existing products. In addition, we may use cash to fund acquisitions of complementary businesses or technologies. Our capital requirements depend on market acceptance of our products and our ability to market, sell and support our products on a worldwide basis.</w:t>
      </w:r>
    </w:p>
    <w:p>
      <w:pPr>
        <w:spacing w:after="0" w:line="63"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We believe that our current cash and cash equivalents will be sufficient to fund our operations for at least the next 12 months. If we are unable to generate adequate operating cash flows,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could be required to delay establishing a national brand, building manufacturing infrastructure and developing our product and process technology, and reduce our</w:t>
      </w:r>
    </w:p>
    <w:p>
      <w:pPr>
        <w:sectPr>
          <w:pgSz w:w="11900" w:h="16838" w:orient="portrait"/>
          <w:cols w:equalWidth="0" w:num="1">
            <w:col w:w="11420"/>
          </w:cols>
          <w:pgMar w:left="240" w:top="125" w:right="239" w:bottom="0" w:gutter="0" w:footer="0" w:header="0"/>
        </w:sectPr>
      </w:pPr>
    </w:p>
    <w:bookmarkStart w:id="30" w:name="page31"/>
    <w:bookmarkEnd w:id="30"/>
    <w:p>
      <w:pPr>
        <w:spacing w:after="0" w:line="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expenditures in general. Accordingly, the failure to obtain sufficient funds on acceptable terms when needed could have a material adverse effect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Management’s discussion and analysis of our financial condition and results of operations is based upon our consolidated financial statements, which have been prepared in accordance with accounting principles generally accepted in the United States of America. The preparation of financial statements requires our management to make estimates and judgments that affect the reported amounts of assets and liabilities, revenue and expenses and disclosures at the date of the financial statements. We evaluate our estimates on an on-going basis, including those related to revenue recognition, stock-based compensation and income taxes. We use authoritative pronouncements, historical experience and other assumptions as the basis for making estimates. Actual results could differ from those estimates.</w:t>
      </w:r>
    </w:p>
    <w:p>
      <w:pPr>
        <w:spacing w:after="0" w:line="85"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We enter into arrangements to sell products, services, and other arrangements that contain multiple elements or multiple deliverables of products in the future. Revenues are recognized when persuasive evidence of an arrangement exists, delivery has occurred or services have been rendered, the price is fixed or determinable, and collectibility is reasonably assured. Revenues from product sales, net of discounts and rebates, are recognized upon shipment. Service revenues are recorded when performance is completed. Other revenue arrangements with multiple elements are recognized as delivery occurs. We use vendor-specific objective evidence of fair value to allocate revenue to the undelivered elements and recognize the residual revenue for the delivered items upon shipment. Revenues for the undelivered elements are deferred based on a historical case refinement utilization rate, or breakage factor, and are recognized when delivery occurs. Actual utilization rates could differ from the historical breakage factor requiring future adjustments to revenue. In addition, changes to the elements in an arrangement and the ability to establish objective and reliable evidence of fair value for those elements could affect the timing of revenue recognition but would not change the total revenue recognized.</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 xml:space="preserve">Effective January 1, 2006, we adopted the modified prospective transition method of Statement of Financial Accounting Standards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123R”), which requires the measurement and recognition of compensation expense for all share-based payment awards made to employees and directors, including stock options and restricted stock units related to our 2001 Plan and our 2005 Plan and employee stock purchases related to our Employee Stock Purchase Plan based on estimated fair values over requisite employee service period. In accordance with the modified prospective transition method, our financial statements for prior periods have not been restated to reflect, and do not include, the impact of FAS 123R. Our Consolidated Financial Statements as of and for the year ended December 31, 2006 reflect the impact of FAS 123R related to share-based payment awards granted prior to, but not yet vested as of December 31, 2005 based on the grant date fair value estimated in accordance with the pro forma provisions of FASB Statement 123, “Accounting for Stock-Based Compensation” (“FAS 123”) and stock-based payment awards granted subsequent to December 31, 2005 based on the grant date fair value estimated in accordance with the provisions of FAS 123R. In conjunction with the adoption of FAS 123R, we changed our method of attributing the value of stock-based compensation to expense from the accelerated multiple-option approach to the straight-line single option method.</w:t>
      </w:r>
    </w:p>
    <w:p>
      <w:pPr>
        <w:spacing w:after="0" w:line="61"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 xml:space="preserve">We estimate the fair value of stock options using a Black-Scholes valuation model, consistent with the provisions of FAS 123R and the SEC issued Staff Accounting Bulletin No. 107 (“SAB 107”). Option-pricing models require the input of highly subjective assumptions, including the option’s expected term and stock price volatility. Judgment is also required in estimating the number of stock-based awards that are expected to be forfeited. As stock-based compensation expense recognized in our financial statements for the year ended December 31, 2006 is based on awards ultimately expected to vest, it has been reduced for estimated forfeitures. FAS 123R requires forfeitures to be estimated at the time of grant and revised, if necessary, in subsequent periods if actual forfeitures differ from those estimates. Forfeitures were estimated based on historical experience. If our estimates change or if we employ different assumptions in the application of FAS 123R in future periods, the compensation expense that we record under FAS 123R may differ significantly from what we have recorded in the current period and could materially impact our results of operations. </w:t>
      </w:r>
      <w:r>
        <w:rPr>
          <w:rFonts w:ascii="Arial" w:cs="Arial" w:eastAsia="Arial" w:hAnsi="Arial"/>
          <w:sz w:val="17"/>
          <w:szCs w:val="17"/>
          <w:i w:val="1"/>
          <w:iCs w:val="1"/>
          <w:color w:val="auto"/>
        </w:rPr>
        <w:t>See Note 10 “Shareholders’ Equity” of the 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Consolidated Financial Statements for additional information.</w:t>
      </w:r>
    </w:p>
    <w:p>
      <w:pPr>
        <w:spacing w:after="0" w:line="74"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On October 6, 2005, the Compensation Committee of the Board of Directors approved the acceleration of the vesting for all unvested stock options with exercise prices greater than $7.10. Options held by non-employee directors were excluded from the vesting acceleration. The fair market value of our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common stock on the date of acceleration was $6.41 as quoted on the NASDAQ Global Market. As a result of the acceleration, approximately 3.8 million options or 35% of the then total outstanding options became immediately exercisable as of October 6, 2005. The purpose of the acceleration was to eliminate future compensation expense we would otherwise recognize in our statement of operations with respect to these accelerated options upon the adoption of FAS 123R.</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Long-lived assets, including finite lived purchased intangible assets</w:t>
      </w:r>
    </w:p>
    <w:p>
      <w:pPr>
        <w:spacing w:after="0" w:line="117" w:lineRule="exact"/>
        <w:rPr>
          <w:sz w:val="20"/>
          <w:szCs w:val="20"/>
          <w:color w:val="auto"/>
        </w:rPr>
      </w:pPr>
    </w:p>
    <w:p>
      <w:pPr>
        <w:ind w:right="80" w:firstLine="360"/>
        <w:spacing w:after="0" w:line="253" w:lineRule="auto"/>
        <w:rPr>
          <w:sz w:val="20"/>
          <w:szCs w:val="20"/>
          <w:color w:val="auto"/>
        </w:rPr>
      </w:pPr>
      <w:r>
        <w:rPr>
          <w:rFonts w:ascii="Arial" w:cs="Arial" w:eastAsia="Arial" w:hAnsi="Arial"/>
          <w:sz w:val="18"/>
          <w:szCs w:val="18"/>
          <w:color w:val="auto"/>
        </w:rPr>
        <w:t xml:space="preserve">Intangible assets other than goodwill are amortized over their useful lives, unless these lives are determined to be indefinite. Intangible assets are carried at cost less accumulated amortization. Amortization is computed over the estimated useful life of the respective asset. Intangible assets are reviewed for impairment in accordance with Statement of Financial Accounting Standards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(“FAS 144”). We perform an impairment test whenever events or changes in circumstances indicate that the carrying value of such assets may not be recoverable. Examples of such events or circumstances include significant underperformance relative to historical or projected future operating results, significant changes in the manner of use of acquired assets or the strategy for its business, significant negative industry or economic trends, and/or a significant decline in our stock price for a sustained period. Impairments are recognized based on the difference between the fair value of the asset and its carrying value, and fair value is generally measured based on discounted cash flow analyses. No intangible asset impairment was recorded for the periods presented.</w:t>
      </w:r>
    </w:p>
    <w:p>
      <w:pPr>
        <w:sectPr>
          <w:pgSz w:w="11900" w:h="16848" w:orient="portrait"/>
          <w:cols w:equalWidth="0" w:num="1">
            <w:col w:w="11420"/>
          </w:cols>
          <w:pgMar w:left="240" w:top="125" w:right="239" w:bottom="0" w:gutter="0" w:footer="0" w:header="0"/>
        </w:sectPr>
      </w:pPr>
    </w:p>
    <w:bookmarkStart w:id="31" w:name="page32"/>
    <w:bookmarkEnd w:id="31"/>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Patients First Program</w:t>
      </w:r>
    </w:p>
    <w:p>
      <w:pPr>
        <w:spacing w:after="0" w:line="117"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As part of the OrthoClear Settlement Agreement, OrthoClear agreed to stop the importation of aligners into the United States and discontinue all aligner business operations worldwide. As a result, most OrthoClear patients were unable to complete their orthodontic treatment with OrthoClear. In an attempt to help minimize treatment disruptions for the OrthoClear patients and their doctors, we committed to make treatment available to these patients at no additional cost under the “Patients First Program”. We will receive no revenue for the program, and will incur significant expense to complete these cases. In the fourth quarter of 2006, we recorded s $8.3 million charge for the anticipated costs of completing this program in accordance with FASB Statement 5, “Accounting for Contingencies” (“FAS 5”). This amount is based on the number of OrthoClear cases registered under the Patients First Program as of December 31, 2006 and the estimated costs that will be incurred to fulfill our obligations as a result of this program. If the actual number of OrthoClear cases under the program changes or the actual costs differs significantly from our estimates, we would be required to adjust the accrual for the Patients First Program, and it could materially impact our financial statements. We currently anticipate that we will be able to complete the Patients First Program by the end of the second quarter of fiscal 2007.</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Product Warranty</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warrant our products against defects in materials and workmanship until the Invisalign case is completed. We accrue for estimated warranty in costs of goods sold upon the shipment of products. The amount of accrued estimated warranty costs are primarily based on historical experience as to product failures as well as current information on repair costs. Actual warranty costs could differ from the estimated amounts. We regularly review the accrued balances and update these balances based on historical warranty cost trends. Actual warranty costs incurred have not materially differed from those accrued. If we were to experience higher rates of warranty events, we would be required to accrue additional warranty costs, which would negatively affect our operating results.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Deferred Tax Valuation Allowance</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have established a full valuation allowance because we believe the realization of our deferred tax assets is not likely. Deferred tax assets and liabilities are based on temporary differences that result from differing treatments of certain items for tax and accounting purposes. These differences result in deferred tax assets and liabilities, which we show on our balance sheet. We must then assess the likelihood that our deferred tax assets will be realized. To the extent we believe that realization is not likely, we establish a valuation allowance.</w:t>
      </w:r>
    </w:p>
    <w:p>
      <w:pPr>
        <w:spacing w:after="0" w:line="79"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While we have considered future taxable income in assessing the need for the full valuation allowance, we would decrease the valuation allowance to take into account deferred tax assets that we could realize. A decrease in the valuation allowance could have a favorable impact, which could be material, on our income tax provision and net income in the period in which we make the decrease.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i w:val="1"/>
          <w:iCs w:val="1"/>
          <w:color w:val="auto"/>
        </w:rPr>
        <w:t>See Note 1 “Summary of Significant Accounting Policies” of the Notes to Consolidated Financial Statements in Item 8 for a full description of recent accounting pronouncements, including the expected dates of adoption and estimated effects on results of operations and financial condition, which is incorporated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Changes in interest rates could impact our anticipated interest income on our cash equivalents and investments in marketable equity securities. Due to the short duration of our cash and cash equivalents an immediate 10% decrease or more in interest rates would not have a material adverse impact on our future operating results and cash flows. Periodically we invest our excess cash in low risk and short-term available for sale marketable equity securities. These investments are primarily at fixed interest rates. As of December 31, 2006, we had $8.9 million investments in available for sale marketable equity securities.</w:t>
      </w:r>
    </w:p>
    <w:p>
      <w:pPr>
        <w:spacing w:after="0" w:line="46" w:lineRule="exact"/>
        <w:rPr>
          <w:sz w:val="20"/>
          <w:szCs w:val="20"/>
          <w:color w:val="auto"/>
        </w:rPr>
      </w:pPr>
    </w:p>
    <w:p>
      <w:pPr>
        <w:jc w:val="both"/>
        <w:ind w:right="240" w:firstLine="360"/>
        <w:spacing w:after="0" w:line="312" w:lineRule="auto"/>
        <w:rPr>
          <w:sz w:val="20"/>
          <w:szCs w:val="20"/>
          <w:color w:val="auto"/>
        </w:rPr>
      </w:pPr>
      <w:r>
        <w:rPr>
          <w:rFonts w:ascii="Arial" w:cs="Arial" w:eastAsia="Arial" w:hAnsi="Arial"/>
          <w:sz w:val="16"/>
          <w:szCs w:val="16"/>
          <w:color w:val="auto"/>
        </w:rPr>
        <w:t>As of December 31, 2006, we had $11.5 million outstanding borrowing against our line of credit, which bears interest rate of LIBOR plus two percent being 7.29% as of December 31, 2006 and are not subject to risks from immediate interest rate increases. An increase of 10% or more in interest rates may affect our future cost of financing. In the past we had used fixed rates long-term financing to minimize our risk on interest rates increases.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Currency Rate Risk</w:t>
      </w:r>
    </w:p>
    <w:p>
      <w:pPr>
        <w:spacing w:after="0" w:line="117" w:lineRule="exact"/>
        <w:rPr>
          <w:sz w:val="20"/>
          <w:szCs w:val="20"/>
          <w:color w:val="auto"/>
        </w:rPr>
      </w:pPr>
    </w:p>
    <w:p>
      <w:pPr>
        <w:ind w:right="140" w:firstLine="360"/>
        <w:spacing w:after="0" w:line="273" w:lineRule="auto"/>
        <w:rPr>
          <w:sz w:val="20"/>
          <w:szCs w:val="20"/>
          <w:color w:val="auto"/>
        </w:rPr>
      </w:pPr>
      <w:r>
        <w:rPr>
          <w:rFonts w:ascii="Arial" w:cs="Arial" w:eastAsia="Arial" w:hAnsi="Arial"/>
          <w:sz w:val="17"/>
          <w:szCs w:val="17"/>
          <w:color w:val="auto"/>
        </w:rPr>
        <w:t>The functional currency of Align and its subsidiaries is the U.S. dollar and, accordingly, gains and losses resulting from the translation of monetary assets and liabilities denominated in Euro, Cost Rican Colon, and other currencies are reflected in the determination of net income or loss. We do not enter into forward exchange contracts to reduce our exposure to foreign exchange gains and losses. Included in other income (expense) for the year ended December 31, 2006, was an exchanges gain of $1.1 million. For years 2005 and 2004 we experienced exchange loss of $1.0 million and an exchange gain of $0.3 million, respectively, primarily related to Euro denominated balances. An aggregate decline of 10% in foreign currency exchange rates relative to USD may have an adverse effect of approximately $1.2 million on our results of operations and financial position.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160"/>
        <w:spacing w:after="0" w:line="407" w:lineRule="auto"/>
        <w:rPr>
          <w:sz w:val="20"/>
          <w:szCs w:val="20"/>
          <w:color w:val="auto"/>
        </w:rPr>
      </w:pPr>
      <w:r>
        <w:rPr>
          <w:rFonts w:ascii="Arial" w:cs="Arial" w:eastAsia="Arial" w:hAnsi="Arial"/>
          <w:sz w:val="18"/>
          <w:szCs w:val="18"/>
          <w:b w:val="1"/>
          <w:bCs w:val="1"/>
          <w:color w:val="auto"/>
        </w:rPr>
        <w:t>ITEM 8. CONSOLIDATED FINANCIAL STATEMENTS AND SUPPLEMENTARY DATA Quarterly Results of Operations</w:t>
      </w:r>
    </w:p>
    <w:p>
      <w:pPr>
        <w:spacing w:after="0" w:line="36" w:lineRule="exact"/>
        <w:rPr>
          <w:sz w:val="20"/>
          <w:szCs w:val="20"/>
          <w:color w:val="auto"/>
        </w:rPr>
      </w:pPr>
    </w:p>
    <w:tbl>
      <w:tblPr>
        <w:tblLayout w:type="fixed"/>
        <w:tblInd w:w="3340" w:type="dxa"/>
        <w:tblCellMar>
          <w:top w:w="0" w:type="dxa"/>
          <w:left w:w="0" w:type="dxa"/>
          <w:bottom w:w="0" w:type="dxa"/>
          <w:right w:w="0" w:type="dxa"/>
        </w:tblCellMar>
      </w:tblPr>
      <w:tr>
        <w:trPr>
          <w:trHeight w:val="171"/>
        </w:trPr>
        <w:tc>
          <w:tcPr>
            <w:tcW w:w="10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29"/>
        </w:trPr>
        <w:tc>
          <w:tcPr>
            <w:tcW w:w="10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rPr>
              <w:t>2006</w:t>
            </w:r>
          </w:p>
        </w:tc>
        <w:tc>
          <w:tcPr>
            <w:tcW w:w="8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68"/>
              <w:spacing w:after="0" w:line="129" w:lineRule="exact"/>
              <w:rPr>
                <w:sz w:val="20"/>
                <w:szCs w:val="20"/>
                <w:color w:val="auto"/>
              </w:rPr>
            </w:pPr>
            <w:r>
              <w:rPr>
                <w:rFonts w:ascii="Arial" w:cs="Arial" w:eastAsia="Arial" w:hAnsi="Arial"/>
                <w:sz w:val="14"/>
                <w:szCs w:val="14"/>
                <w:b w:val="1"/>
                <w:bCs w:val="1"/>
                <w:color w:val="auto"/>
              </w:rPr>
              <w:t>2005</w:t>
            </w:r>
          </w:p>
        </w:tc>
        <w:tc>
          <w:tcPr>
            <w:tcW w:w="920" w:type="dxa"/>
            <w:vAlign w:val="bottom"/>
            <w:tcBorders>
              <w:bottom w:val="single" w:sz="8" w:color="auto"/>
            </w:tcBorders>
          </w:tcPr>
          <w:p>
            <w:pPr>
              <w:spacing w:after="0"/>
              <w:rPr>
                <w:sz w:val="11"/>
                <w:szCs w:val="11"/>
                <w:color w:val="auto"/>
              </w:rPr>
            </w:pPr>
          </w:p>
        </w:tc>
      </w:tr>
      <w:tr>
        <w:trPr>
          <w:trHeight w:val="129"/>
        </w:trPr>
        <w:tc>
          <w:tcPr>
            <w:tcW w:w="1040" w:type="dxa"/>
            <w:vAlign w:val="bottom"/>
            <w:tcBorders>
              <w:bottom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Dec 31</w:t>
            </w:r>
          </w:p>
        </w:tc>
        <w:tc>
          <w:tcPr>
            <w:tcW w:w="1280" w:type="dxa"/>
            <w:vAlign w:val="bottom"/>
            <w:tcBorders>
              <w:bottom w:val="single" w:sz="8" w:color="auto"/>
            </w:tcBorders>
          </w:tcPr>
          <w:p>
            <w:pPr>
              <w:jc w:val="right"/>
              <w:ind w:right="448"/>
              <w:spacing w:after="0" w:line="129" w:lineRule="exact"/>
              <w:rPr>
                <w:sz w:val="20"/>
                <w:szCs w:val="20"/>
                <w:color w:val="auto"/>
              </w:rPr>
            </w:pPr>
            <w:r>
              <w:rPr>
                <w:rFonts w:ascii="Arial" w:cs="Arial" w:eastAsia="Arial" w:hAnsi="Arial"/>
                <w:sz w:val="14"/>
                <w:szCs w:val="14"/>
                <w:b w:val="1"/>
                <w:bCs w:val="1"/>
                <w:color w:val="auto"/>
              </w:rPr>
              <w:t>Sep 30</w:t>
            </w:r>
          </w:p>
        </w:tc>
        <w:tc>
          <w:tcPr>
            <w:tcW w:w="80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Jun 30</w:t>
            </w:r>
          </w:p>
        </w:tc>
        <w:tc>
          <w:tcPr>
            <w:tcW w:w="980" w:type="dxa"/>
            <w:vAlign w:val="bottom"/>
            <w:tcBorders>
              <w:bottom w:val="single" w:sz="8" w:color="auto"/>
            </w:tcBorders>
          </w:tcPr>
          <w:p>
            <w:pPr>
              <w:ind w:left="320"/>
              <w:spacing w:after="0" w:line="129" w:lineRule="exact"/>
              <w:rPr>
                <w:sz w:val="20"/>
                <w:szCs w:val="20"/>
                <w:color w:val="auto"/>
              </w:rPr>
            </w:pPr>
            <w:r>
              <w:rPr>
                <w:rFonts w:ascii="Arial" w:cs="Arial" w:eastAsia="Arial" w:hAnsi="Arial"/>
                <w:sz w:val="14"/>
                <w:szCs w:val="14"/>
                <w:b w:val="1"/>
                <w:bCs w:val="1"/>
                <w:color w:val="auto"/>
              </w:rPr>
              <w:t>Mar 31</w:t>
            </w: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Dec 31</w:t>
            </w:r>
          </w:p>
        </w:tc>
        <w:tc>
          <w:tcPr>
            <w:tcW w:w="64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Sep 30</w:t>
            </w:r>
          </w:p>
        </w:tc>
        <w:tc>
          <w:tcPr>
            <w:tcW w:w="1200" w:type="dxa"/>
            <w:vAlign w:val="bottom"/>
            <w:tcBorders>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Jun 30</w:t>
            </w:r>
          </w:p>
        </w:tc>
        <w:tc>
          <w:tcPr>
            <w:tcW w:w="92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4"/>
                <w:szCs w:val="14"/>
                <w:b w:val="1"/>
                <w:bCs w:val="1"/>
                <w:color w:val="auto"/>
              </w:rPr>
              <w:t>Mar 31</w:t>
            </w:r>
          </w:p>
        </w:tc>
      </w:tr>
      <w:tr>
        <w:trPr>
          <w:trHeight w:val="180"/>
        </w:trPr>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9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1"/>
              </w:rPr>
              <w:t>(in thousands, except per share data)</w:t>
            </w: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ectPr>
          <w:pgSz w:w="11900" w:h="16935" w:orient="portrait"/>
          <w:cols w:equalWidth="0" w:num="1">
            <w:col w:w="11420"/>
          </w:cols>
          <w:pgMar w:left="240" w:top="125" w:right="2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24"/>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55,191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49,034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53,221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48,908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51,164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50,866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37,994</w:t>
            </w:r>
          </w:p>
        </w:tc>
        <w:tc>
          <w:tcPr>
            <w:tcW w:w="3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32,245</w:t>
            </w:r>
          </w:p>
        </w:tc>
        <w:tc>
          <w:tcPr>
            <w:tcW w:w="2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36,729</w:t>
            </w:r>
          </w:p>
        </w:tc>
        <w:tc>
          <w:tcPr>
            <w:tcW w:w="2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34,611</w:t>
            </w:r>
          </w:p>
        </w:tc>
        <w:tc>
          <w:tcPr>
            <w:tcW w:w="2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34,453</w:t>
            </w:r>
          </w:p>
        </w:tc>
        <w:tc>
          <w:tcPr>
            <w:tcW w:w="2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35,891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37,320</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35,677</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(loss)(1)</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Net profit (loss)(1)</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(17,269)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(10,320)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(4,764)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1,863</w:t>
            </w:r>
          </w:p>
        </w:tc>
      </w:tr>
      <w:tr>
        <w:trPr>
          <w:trHeight w:val="324"/>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 per share,</w:t>
            </w:r>
          </w:p>
        </w:tc>
        <w:tc>
          <w:tcPr>
            <w:tcW w:w="6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310"/>
        </w:trPr>
        <w:tc>
          <w:tcPr>
            <w:tcW w:w="2960" w:type="dxa"/>
            <w:vAlign w:val="bottom"/>
          </w:tcPr>
          <w:p>
            <w:pPr>
              <w:spacing w:after="0"/>
              <w:rPr>
                <w:sz w:val="20"/>
                <w:szCs w:val="20"/>
                <w:color w:val="auto"/>
              </w:rPr>
            </w:pPr>
            <w:r>
              <w:rPr>
                <w:rFonts w:ascii="Arial" w:cs="Arial" w:eastAsia="Arial" w:hAnsi="Arial"/>
                <w:sz w:val="18"/>
                <w:szCs w:val="18"/>
                <w:color w:val="auto"/>
              </w:rPr>
              <w:t>Shares used in computing net profit</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(loss) per share:</w:t>
            </w: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64,252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63,230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62,966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62,518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62,045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61,788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61,246</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64,252</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63,230</w:t>
            </w:r>
          </w:p>
        </w:tc>
        <w:tc>
          <w:tcPr>
            <w:tcW w:w="2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62,966</w:t>
            </w:r>
          </w:p>
        </w:tc>
        <w:tc>
          <w:tcPr>
            <w:tcW w:w="24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62,518</w:t>
            </w:r>
          </w:p>
        </w:tc>
        <w:tc>
          <w:tcPr>
            <w:tcW w:w="2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63,247</w:t>
            </w:r>
          </w:p>
        </w:tc>
        <w:tc>
          <w:tcPr>
            <w:tcW w:w="2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61,788</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62,953</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1" w:lineRule="exact"/>
        <w:rPr>
          <w:sz w:val="20"/>
          <w:szCs w:val="20"/>
          <w:color w:val="auto"/>
        </w:rPr>
      </w:pPr>
    </w:p>
    <w:p>
      <w:pPr>
        <w:ind w:left="360" w:right="260" w:hanging="352"/>
        <w:spacing w:after="0" w:line="308" w:lineRule="auto"/>
        <w:tabs>
          <w:tab w:leader="none" w:pos="345"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December 2006 Profit (loss) from operations and Net profit (loss) included a $14.3 million charge for Patients First Program and settlement costs.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Note 2 “Patients First Program and settlement costs” of the Notes to Consolidated Financial Statements for additional information</w:t>
      </w:r>
      <w:r>
        <w:rPr>
          <w:rFonts w:ascii="Arial" w:cs="Arial" w:eastAsia="Arial" w:hAnsi="Arial"/>
          <w:sz w:val="17"/>
          <w:szCs w:val="17"/>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gridSpan w:val="7"/>
            <w:vMerge w:val="restart"/>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Report of Management on Internal Control over Financial Reporting</w:t>
              </w:r>
            </w:hyperlink>
          </w:p>
        </w:tc>
        <w:tc>
          <w:tcPr>
            <w:tcW w:w="59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4940" w:type="dxa"/>
            <w:vAlign w:val="bottom"/>
            <w:tcBorders>
              <w:bottom w:val="single" w:sz="8" w:color="0000EE"/>
            </w:tcBorders>
            <w:gridSpan w:val="7"/>
            <w:vMerge w:val="continue"/>
          </w:tcPr>
          <w:p>
            <w:pPr>
              <w:spacing w:after="0"/>
              <w:rPr>
                <w:sz w:val="13"/>
                <w:szCs w:val="13"/>
                <w:color w:val="auto"/>
              </w:rPr>
            </w:pPr>
          </w:p>
        </w:tc>
        <w:tc>
          <w:tcPr>
            <w:tcW w:w="5960" w:type="dxa"/>
            <w:vAlign w:val="bottom"/>
          </w:tcPr>
          <w:p>
            <w:pPr>
              <w:spacing w:after="0"/>
              <w:rPr>
                <w:sz w:val="13"/>
                <w:szCs w:val="13"/>
                <w:color w:val="auto"/>
              </w:rPr>
            </w:pPr>
          </w:p>
        </w:tc>
        <w:tc>
          <w:tcPr>
            <w:tcW w:w="520" w:type="dxa"/>
            <w:vAlign w:val="bottom"/>
          </w:tcPr>
          <w:p>
            <w:pPr>
              <w:jc w:val="center"/>
              <w:spacing w:after="0" w:line="15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77"/>
        </w:trPr>
        <w:tc>
          <w:tcPr>
            <w:tcW w:w="42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Report of Independent Registered Public Accounting Firm</w:t>
              </w:r>
            </w:hyperlink>
          </w:p>
        </w:tc>
        <w:tc>
          <w:tcPr>
            <w:tcW w:w="666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64"/>
        </w:trPr>
        <w:tc>
          <w:tcPr>
            <w:tcW w:w="1090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Statements of Operations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64"/>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Balance Sheets</w:t>
              </w:r>
            </w:hyperlink>
          </w:p>
        </w:tc>
        <w:tc>
          <w:tcPr>
            <w:tcW w:w="720" w:type="dxa"/>
            <w:vAlign w:val="bottom"/>
            <w:tcBorders>
              <w:top w:val="single" w:sz="8" w:color="0000EE"/>
            </w:tcBorders>
          </w:tcPr>
          <w:p>
            <w:pPr>
              <w:spacing w:after="0"/>
              <w:rPr>
                <w:sz w:val="22"/>
                <w:szCs w:val="22"/>
                <w:color w:val="auto"/>
              </w:rPr>
            </w:pPr>
          </w:p>
        </w:tc>
        <w:tc>
          <w:tcPr>
            <w:tcW w:w="8080" w:type="dxa"/>
            <w:vAlign w:val="bottom"/>
            <w:gridSpan w:val="6"/>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64"/>
        </w:trPr>
        <w:tc>
          <w:tcPr>
            <w:tcW w:w="1090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Statements of Shareholders’ Equity (Deficit)</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64"/>
        </w:trPr>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Consolidated Statements of Cash Flows</w:t>
              </w:r>
            </w:hyperlink>
          </w:p>
        </w:tc>
        <w:tc>
          <w:tcPr>
            <w:tcW w:w="1340" w:type="dxa"/>
            <w:vAlign w:val="bottom"/>
            <w:tcBorders>
              <w:top w:val="single" w:sz="8" w:color="0000EE"/>
            </w:tcBorders>
            <w:gridSpan w:val="2"/>
          </w:tcPr>
          <w:p>
            <w:pPr>
              <w:spacing w:after="0"/>
              <w:rPr>
                <w:sz w:val="22"/>
                <w:szCs w:val="22"/>
                <w:color w:val="auto"/>
              </w:rPr>
            </w:pPr>
          </w:p>
        </w:tc>
        <w:tc>
          <w:tcPr>
            <w:tcW w:w="6680" w:type="dxa"/>
            <w:vAlign w:val="bottom"/>
            <w:gridSpan w:val="3"/>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64"/>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Notes to Consolidated Financial Statements</w:t>
              </w:r>
            </w:hyperlink>
          </w:p>
        </w:tc>
        <w:tc>
          <w:tcPr>
            <w:tcW w:w="7740" w:type="dxa"/>
            <w:vAlign w:val="bottom"/>
            <w:gridSpan w:val="4"/>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Invisalign, Align, ClinCheck and ClinAdvisor, amongst others, are trademarks belonging to Align Technology, Inc. and are pending or registered in the United States and other countries.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Management of Align is responsible for establishing and maintaining adequate internal control over financial reporting as defined in Rules 13a-15(f) and 15d-15(f) under the Securities Exchange Act of 1934. Align’s internal control over financial reporting is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79" w:lineRule="exact"/>
        <w:rPr>
          <w:sz w:val="20"/>
          <w:szCs w:val="20"/>
          <w:color w:val="auto"/>
        </w:rPr>
      </w:pPr>
    </w:p>
    <w:p>
      <w:pPr>
        <w:ind w:left="540" w:right="600" w:hanging="17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540" w:right="340" w:hanging="17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540" w:right="420" w:hanging="17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w:t>
      </w:r>
    </w:p>
    <w:p>
      <w:pPr>
        <w:spacing w:after="0" w:line="73"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Management assessed the effectiveness of Align’s internal control over financial reporting as of December 31, 2006. In making this assessment, management used the criteria set forth in Internal Control-Integrated Framework issued by the Committee of Sponsoring Organizations of the Treadway Commission (COSO).</w:t>
      </w:r>
    </w:p>
    <w:p>
      <w:pPr>
        <w:spacing w:after="0" w:line="73"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Based on its assessment and those criteria, management has concluded that, as of December 31, 2006, Align’s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Align’s independent registered public accounting firm, PricewaterhouseCoopers LLP, has issued an audit report on our assessment of Align’s internal control of financial reporting. Their report may be found immediately after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THOMAS M. PRESCOTT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04" w:right="239" w:bottom="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March 12,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ELDON M. BULLINGTON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Eldon M.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12, 2007</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620" w:firstLine="2624"/>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Board of Directors of Align Technology, Inc. and subsidiaries:</w:t>
      </w:r>
    </w:p>
    <w:p>
      <w:pPr>
        <w:ind w:right="120" w:firstLine="360"/>
        <w:spacing w:after="0" w:line="264" w:lineRule="auto"/>
        <w:rPr>
          <w:sz w:val="20"/>
          <w:szCs w:val="20"/>
          <w:color w:val="auto"/>
        </w:rPr>
      </w:pPr>
      <w:r>
        <w:rPr>
          <w:rFonts w:ascii="Arial" w:cs="Arial" w:eastAsia="Arial" w:hAnsi="Arial"/>
          <w:sz w:val="18"/>
          <w:szCs w:val="18"/>
          <w:color w:val="auto"/>
        </w:rPr>
        <w:t>We have completed integrated audits of Align Technology, Inc.’s consolidated financial statements and of its internal control over financial reporting as of December 31, 2006 in accordance with the standards of the Public Company Accounting Oversight Board (United States). Our opinions, based on our audits, are presented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 and financial statement schedule</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In our opinion, the consolidated financial statements listed in the index under item 15(a)(i) present fairly, in all material respects, the financial position of Align Technology, Inc. and its subsidiaries at December 31, 2006 and 2005, and the results of their operations and their cash flows for each of the three years in the period ended December 31, 2006 in conformity with accounting principles generally accepted in the United States of America. In addition, in our opinion, the financial statement schedule listed in the accompanying index appearing under item 15(a)(ii)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9"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As discussed in Note 10 to the Consolidated Financial Statements, the Company changed the manner in which it accounts for stock-based compensation in fiscal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color w:val="auto"/>
        </w:rPr>
        <w:t>Also, in our opinion, management’s assessment, included in Management’s Report on Internal Control Over Financial Reporting appearing immediately above this report, that the Company maintained effective internal control over financial reporting as of December 31, 2006 based on criteria established in Internal Control—Integrated Framework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2006, based on criteria established in Internal Control—Integrated Framework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2007</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25" w:right="259" w:bottom="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ALIGN TECHNOLOGY,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125"/>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00" w:type="dxa"/>
            <w:vAlign w:val="bottom"/>
            <w:tcBorders>
              <w:bottom w:val="single" w:sz="8" w:color="CCEEFF"/>
            </w:tcBorders>
          </w:tcPr>
          <w:p>
            <w:pPr>
              <w:spacing w:after="0"/>
              <w:rPr>
                <w:sz w:val="11"/>
                <w:szCs w:val="11"/>
                <w:color w:val="auto"/>
              </w:rPr>
            </w:pPr>
          </w:p>
        </w:tc>
        <w:tc>
          <w:tcPr>
            <w:tcW w:w="3560" w:type="dxa"/>
            <w:vAlign w:val="bottom"/>
            <w:tcBorders>
              <w:bottom w:val="single" w:sz="8" w:color="CCEEFF"/>
            </w:tcBorders>
          </w:tcPr>
          <w:p>
            <w:pPr>
              <w:spacing w:after="0"/>
              <w:rPr>
                <w:sz w:val="11"/>
                <w:szCs w:val="11"/>
                <w:color w:val="auto"/>
              </w:rPr>
            </w:pPr>
          </w:p>
        </w:tc>
        <w:tc>
          <w:tcPr>
            <w:tcW w:w="20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71"/>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2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Invisalign</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194,582</w:t>
            </w:r>
          </w:p>
        </w:tc>
        <w:tc>
          <w:tcPr>
            <w:tcW w:w="28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197,749</w:t>
            </w:r>
          </w:p>
        </w:tc>
        <w:tc>
          <w:tcPr>
            <w:tcW w:w="3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Ancillary products and other services</w:t>
            </w:r>
          </w:p>
        </w:tc>
        <w:tc>
          <w:tcPr>
            <w:tcW w:w="2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net revenues</w:t>
            </w:r>
          </w:p>
        </w:tc>
        <w:tc>
          <w:tcPr>
            <w:tcW w:w="20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206,354</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207,125</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Invisalign</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55,759(1)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54,549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Ancillary products and other services</w:t>
            </w:r>
          </w:p>
        </w:tc>
        <w:tc>
          <w:tcPr>
            <w:tcW w:w="2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Total cost of revenues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64,775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63,784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141,579</w:t>
            </w: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143,341</w:t>
            </w:r>
          </w:p>
        </w:tc>
        <w:tc>
          <w:tcPr>
            <w:tcW w:w="3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115,304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81,993(1)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64,305(1)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18,474(1)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Patients First Program and settlement costs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179,115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140,895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5760" w:type="dxa"/>
            <w:vAlign w:val="bottom"/>
            <w:gridSpan w:val="2"/>
          </w:tcPr>
          <w:p>
            <w:pPr>
              <w:spacing w:after="0"/>
              <w:rPr>
                <w:sz w:val="20"/>
                <w:szCs w:val="20"/>
                <w:color w:val="auto"/>
              </w:rPr>
            </w:pPr>
            <w:r>
              <w:rPr>
                <w:rFonts w:ascii="Arial" w:cs="Arial" w:eastAsia="Arial" w:hAnsi="Arial"/>
                <w:sz w:val="18"/>
                <w:szCs w:val="18"/>
                <w:color w:val="auto"/>
              </w:rPr>
              <w:t>Profit (loss) from operations</w:t>
            </w: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(37,536)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color w:val="auto"/>
              </w:rPr>
              <w:t>Net profit (loss) before provision for income taxes</w:t>
            </w:r>
          </w:p>
        </w:tc>
        <w:tc>
          <w:tcPr>
            <w:tcW w:w="2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760" w:type="dxa"/>
            <w:vAlign w:val="bottom"/>
            <w:gridSpan w:val="2"/>
          </w:tcPr>
          <w:p>
            <w:pPr>
              <w:spacing w:after="0"/>
              <w:rPr>
                <w:sz w:val="20"/>
                <w:szCs w:val="20"/>
                <w:color w:val="auto"/>
              </w:rPr>
            </w:pPr>
            <w:r>
              <w:rPr>
                <w:rFonts w:ascii="Arial" w:cs="Arial" w:eastAsia="Arial" w:hAnsi="Arial"/>
                <w:sz w:val="18"/>
                <w:szCs w:val="18"/>
                <w:color w:val="auto"/>
              </w:rPr>
              <w:t>Net profit (loss)</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(34,963)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1,413</w:t>
            </w:r>
          </w:p>
        </w:tc>
        <w:tc>
          <w:tcPr>
            <w:tcW w:w="30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profit (loss) per share:</w:t>
            </w:r>
          </w:p>
        </w:tc>
        <w:tc>
          <w:tcPr>
            <w:tcW w:w="20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760" w:type="dxa"/>
            <w:vAlign w:val="bottom"/>
            <w:tcBorders>
              <w:top w:val="single" w:sz="8" w:color="CCEEFF"/>
              <w:bottom w:val="single" w:sz="8" w:color="CCEEFF"/>
            </w:tcBorders>
            <w:gridSpan w:val="2"/>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20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profit (loss) per share:</w:t>
            </w: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6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63,246</w:t>
            </w: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61,644</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180"/>
              <w:spacing w:after="0"/>
              <w:rPr>
                <w:sz w:val="20"/>
                <w:szCs w:val="20"/>
                <w:color w:val="auto"/>
              </w:rPr>
            </w:pPr>
            <w:r>
              <w:rPr>
                <w:rFonts w:ascii="Arial" w:cs="Arial" w:eastAsia="Arial" w:hAnsi="Arial"/>
                <w:sz w:val="18"/>
                <w:szCs w:val="18"/>
                <w:color w:val="auto"/>
              </w:rPr>
              <w:t>Diluted</w:t>
            </w: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gridSpan w:val="2"/>
            <w:vMerge w:val="continue"/>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63,246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63,152</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64,089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35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340" w:hanging="352"/>
        <w:spacing w:after="0" w:line="302" w:lineRule="auto"/>
        <w:tabs>
          <w:tab w:leader="none" w:pos="34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for the year ended December 31, 2006 include stock-based compensation expense recognized under FAS 123R for stock options, restricted stock units and employee stock purchases (</w:t>
      </w:r>
      <w:r>
        <w:rPr>
          <w:rFonts w:ascii="Arial" w:cs="Arial" w:eastAsia="Arial" w:hAnsi="Arial"/>
          <w:sz w:val="16"/>
          <w:szCs w:val="16"/>
          <w:i w:val="1"/>
          <w:iCs w:val="1"/>
          <w:color w:val="auto"/>
        </w:rPr>
        <w:t>See Note 10 “Shareholders’ Equity” of the Notes to Consolidated Financial Statements</w:t>
      </w:r>
      <w:r>
        <w:rPr>
          <w:rFonts w:ascii="Arial" w:cs="Arial" w:eastAsia="Arial" w:hAnsi="Arial"/>
          <w:sz w:val="16"/>
          <w:szCs w:val="16"/>
          <w:color w:val="auto"/>
        </w:rPr>
        <w:t xml:space="preserve"> ). The Company recognized $8.9 million in total stock-based compensation expense in the year ended December 31, 2006, including $0.7 million in cost of revenues, $2.9 million in sales and marketing, $4.0 million in general and administrative and $1.3 million in research and development.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86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13"/>
              <w:spacing w:after="0" w:line="129"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11"/>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1"/>
                <w:szCs w:val="11"/>
                <w:color w:val="auto"/>
              </w:rPr>
            </w:pPr>
          </w:p>
        </w:tc>
      </w:tr>
      <w:tr>
        <w:trPr>
          <w:trHeight w:val="183"/>
        </w:trPr>
        <w:tc>
          <w:tcPr>
            <w:tcW w:w="8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860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6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55,113</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74,219</w:t>
            </w:r>
          </w:p>
        </w:tc>
        <w:tc>
          <w:tcPr>
            <w:tcW w:w="100" w:type="dxa"/>
            <w:vAlign w:val="bottom"/>
            <w:shd w:val="clear" w:color="auto" w:fill="CCEEFF"/>
          </w:tcPr>
          <w:p>
            <w:pPr>
              <w:spacing w:after="0"/>
              <w:rPr>
                <w:sz w:val="16"/>
                <w:szCs w:val="16"/>
                <w:color w:val="auto"/>
              </w:rPr>
            </w:pPr>
          </w:p>
        </w:tc>
      </w:tr>
      <w:tr>
        <w:trPr>
          <w:trHeight w:val="189"/>
        </w:trPr>
        <w:tc>
          <w:tcPr>
            <w:tcW w:w="8600" w:type="dxa"/>
            <w:vAlign w:val="bottom"/>
          </w:tcPr>
          <w:p>
            <w:pPr>
              <w:ind w:left="180"/>
              <w:spacing w:after="0" w:line="189" w:lineRule="exact"/>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93</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150</w:t>
            </w:r>
          </w:p>
        </w:tc>
        <w:tc>
          <w:tcPr>
            <w:tcW w:w="100" w:type="dxa"/>
            <w:vAlign w:val="bottom"/>
          </w:tcPr>
          <w:p>
            <w:pPr>
              <w:spacing w:after="0"/>
              <w:rPr>
                <w:sz w:val="16"/>
                <w:szCs w:val="16"/>
                <w:color w:val="auto"/>
              </w:rPr>
            </w:pPr>
          </w:p>
        </w:tc>
      </w:tr>
      <w:tr>
        <w:trPr>
          <w:trHeight w:val="189"/>
        </w:trPr>
        <w:tc>
          <w:tcPr>
            <w:tcW w:w="86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Marketable securities, short-term</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8,931</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61"/>
        </w:trPr>
        <w:tc>
          <w:tcPr>
            <w:tcW w:w="8600" w:type="dxa"/>
            <w:vAlign w:val="bottom"/>
          </w:tcPr>
          <w:p>
            <w:pPr>
              <w:ind w:left="180"/>
              <w:spacing w:after="0" w:line="161" w:lineRule="exact"/>
              <w:rPr>
                <w:sz w:val="20"/>
                <w:szCs w:val="20"/>
                <w:color w:val="auto"/>
              </w:rPr>
            </w:pPr>
            <w:r>
              <w:rPr>
                <w:rFonts w:ascii="Arial" w:cs="Arial" w:eastAsia="Arial" w:hAnsi="Arial"/>
                <w:sz w:val="18"/>
                <w:szCs w:val="18"/>
                <w:color w:val="auto"/>
                <w:w w:val="93"/>
              </w:rPr>
              <w:t>Accounts receivable, net of allowance for doubtful accounts of $844 and $1,626 at December 31, 2006 and 2005,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7"/>
        </w:trPr>
        <w:tc>
          <w:tcPr>
            <w:tcW w:w="860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33,635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29,305</w:t>
            </w:r>
          </w:p>
        </w:tc>
        <w:tc>
          <w:tcPr>
            <w:tcW w:w="100" w:type="dxa"/>
            <w:vAlign w:val="bottom"/>
          </w:tcPr>
          <w:p>
            <w:pPr>
              <w:spacing w:after="0"/>
              <w:rPr>
                <w:sz w:val="18"/>
                <w:szCs w:val="18"/>
                <w:color w:val="auto"/>
              </w:rPr>
            </w:pPr>
          </w:p>
        </w:tc>
      </w:tr>
      <w:tr>
        <w:trPr>
          <w:trHeight w:val="189"/>
        </w:trPr>
        <w:tc>
          <w:tcPr>
            <w:tcW w:w="86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3,090</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6"/>
                <w:szCs w:val="16"/>
                <w:color w:val="auto"/>
              </w:rPr>
            </w:pPr>
          </w:p>
        </w:tc>
      </w:tr>
      <w:tr>
        <w:trPr>
          <w:trHeight w:val="189"/>
        </w:trPr>
        <w:tc>
          <w:tcPr>
            <w:tcW w:w="8600" w:type="dxa"/>
            <w:vAlign w:val="bottom"/>
            <w:tcBorders>
              <w:bottom w:val="single" w:sz="8" w:color="CCEEFF"/>
            </w:tcBorders>
          </w:tcPr>
          <w:p>
            <w:pPr>
              <w:ind w:left="18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7,227</w:t>
            </w: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4,982</w:t>
            </w:r>
          </w:p>
        </w:tc>
        <w:tc>
          <w:tcPr>
            <w:tcW w:w="100" w:type="dxa"/>
            <w:vAlign w:val="bottom"/>
            <w:tcBorders>
              <w:bottom w:val="single" w:sz="8" w:color="CCEEFF"/>
            </w:tcBorders>
          </w:tcPr>
          <w:p>
            <w:pPr>
              <w:spacing w:after="0"/>
              <w:rPr>
                <w:sz w:val="16"/>
                <w:szCs w:val="16"/>
                <w:color w:val="auto"/>
              </w:rPr>
            </w:pPr>
          </w:p>
        </w:tc>
      </w:tr>
      <w:tr>
        <w:trPr>
          <w:trHeight w:val="291"/>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108,089</w:t>
            </w: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111,586</w:t>
            </w:r>
          </w:p>
        </w:tc>
        <w:tc>
          <w:tcPr>
            <w:tcW w:w="100" w:type="dxa"/>
            <w:vAlign w:val="bottom"/>
            <w:shd w:val="clear" w:color="auto" w:fill="CCEEFF"/>
          </w:tcPr>
          <w:p>
            <w:pPr>
              <w:spacing w:after="0"/>
              <w:rPr>
                <w:sz w:val="24"/>
                <w:szCs w:val="24"/>
                <w:color w:val="auto"/>
              </w:rPr>
            </w:pPr>
          </w:p>
        </w:tc>
      </w:tr>
      <w:tr>
        <w:trPr>
          <w:trHeight w:val="297"/>
        </w:trPr>
        <w:tc>
          <w:tcPr>
            <w:tcW w:w="8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26,904</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26,427</w:t>
            </w:r>
          </w:p>
        </w:tc>
        <w:tc>
          <w:tcPr>
            <w:tcW w:w="100" w:type="dxa"/>
            <w:vAlign w:val="bottom"/>
          </w:tcPr>
          <w:p>
            <w:pPr>
              <w:spacing w:after="0"/>
              <w:rPr>
                <w:sz w:val="24"/>
                <w:szCs w:val="24"/>
                <w:color w:val="auto"/>
              </w:rPr>
            </w:pP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478</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6"/>
                <w:szCs w:val="16"/>
                <w:color w:val="auto"/>
              </w:rPr>
            </w:pPr>
          </w:p>
        </w:tc>
      </w:tr>
      <w:tr>
        <w:trPr>
          <w:trHeight w:val="189"/>
        </w:trPr>
        <w:tc>
          <w:tcPr>
            <w:tcW w:w="860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13,824</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818</w:t>
            </w:r>
          </w:p>
        </w:tc>
        <w:tc>
          <w:tcPr>
            <w:tcW w:w="100" w:type="dxa"/>
            <w:vAlign w:val="bottom"/>
          </w:tcPr>
          <w:p>
            <w:pPr>
              <w:spacing w:after="0"/>
              <w:rPr>
                <w:sz w:val="16"/>
                <w:szCs w:val="16"/>
                <w:color w:val="auto"/>
              </w:rPr>
            </w:pPr>
          </w:p>
        </w:tc>
      </w:tr>
      <w:tr>
        <w:trPr>
          <w:trHeight w:val="189"/>
        </w:trPr>
        <w:tc>
          <w:tcPr>
            <w:tcW w:w="8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2,263</w:t>
            </w:r>
          </w:p>
        </w:tc>
        <w:tc>
          <w:tcPr>
            <w:tcW w:w="3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2,801</w:t>
            </w:r>
          </w:p>
        </w:tc>
        <w:tc>
          <w:tcPr>
            <w:tcW w:w="100" w:type="dxa"/>
            <w:vAlign w:val="bottom"/>
            <w:shd w:val="clear" w:color="auto" w:fill="CCEEFF"/>
          </w:tcPr>
          <w:p>
            <w:pPr>
              <w:spacing w:after="0"/>
              <w:rPr>
                <w:sz w:val="16"/>
                <w:szCs w:val="16"/>
                <w:color w:val="auto"/>
              </w:rPr>
            </w:pPr>
          </w:p>
        </w:tc>
      </w:tr>
      <w:tr>
        <w:trPr>
          <w:trHeight w:val="291"/>
        </w:trPr>
        <w:tc>
          <w:tcPr>
            <w:tcW w:w="86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151,558</w:t>
            </w:r>
          </w:p>
        </w:tc>
        <w:tc>
          <w:tcPr>
            <w:tcW w:w="3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142,110</w:t>
            </w:r>
          </w:p>
        </w:tc>
        <w:tc>
          <w:tcPr>
            <w:tcW w:w="100" w:type="dxa"/>
            <w:vAlign w:val="bottom"/>
          </w:tcPr>
          <w:p>
            <w:pPr>
              <w:spacing w:after="0"/>
              <w:rPr>
                <w:sz w:val="24"/>
                <w:szCs w:val="24"/>
                <w:color w:val="auto"/>
              </w:rPr>
            </w:pPr>
          </w:p>
        </w:tc>
      </w:tr>
      <w:tr>
        <w:trPr>
          <w:trHeight w:val="20"/>
        </w:trPr>
        <w:tc>
          <w:tcPr>
            <w:tcW w:w="8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513"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r>
      <w:tr>
        <w:trPr>
          <w:trHeight w:val="189"/>
        </w:trPr>
        <w:tc>
          <w:tcPr>
            <w:tcW w:w="870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7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Line of credit</w:t>
            </w:r>
          </w:p>
        </w:tc>
        <w:tc>
          <w:tcPr>
            <w:tcW w:w="4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11,500</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89"/>
        </w:trPr>
        <w:tc>
          <w:tcPr>
            <w:tcW w:w="8700" w:type="dxa"/>
            <w:vAlign w:val="bottom"/>
          </w:tcPr>
          <w:p>
            <w:pPr>
              <w:ind w:left="180"/>
              <w:spacing w:after="0" w:line="189"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5,034</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2,489</w:t>
            </w:r>
          </w:p>
        </w:tc>
        <w:tc>
          <w:tcPr>
            <w:tcW w:w="100" w:type="dxa"/>
            <w:vAlign w:val="bottom"/>
          </w:tcPr>
          <w:p>
            <w:pPr>
              <w:spacing w:after="0"/>
              <w:rPr>
                <w:sz w:val="16"/>
                <w:szCs w:val="16"/>
                <w:color w:val="auto"/>
              </w:rPr>
            </w:pPr>
          </w:p>
        </w:tc>
      </w:tr>
      <w:tr>
        <w:trPr>
          <w:trHeight w:val="189"/>
        </w:trPr>
        <w:tc>
          <w:tcPr>
            <w:tcW w:w="87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40,307</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29,372</w:t>
            </w:r>
          </w:p>
        </w:tc>
        <w:tc>
          <w:tcPr>
            <w:tcW w:w="100" w:type="dxa"/>
            <w:vAlign w:val="bottom"/>
            <w:shd w:val="clear" w:color="auto" w:fill="CCEEFF"/>
          </w:tcPr>
          <w:p>
            <w:pPr>
              <w:spacing w:after="0"/>
              <w:rPr>
                <w:sz w:val="16"/>
                <w:szCs w:val="16"/>
                <w:color w:val="auto"/>
              </w:rPr>
            </w:pPr>
          </w:p>
        </w:tc>
      </w:tr>
      <w:tr>
        <w:trPr>
          <w:trHeight w:val="189"/>
        </w:trPr>
        <w:tc>
          <w:tcPr>
            <w:tcW w:w="8700" w:type="dxa"/>
            <w:vAlign w:val="bottom"/>
            <w:tcBorders>
              <w:bottom w:val="single" w:sz="8" w:color="CCEEFF"/>
            </w:tcBorders>
          </w:tcPr>
          <w:p>
            <w:pPr>
              <w:ind w:left="180"/>
              <w:spacing w:after="0" w:line="189" w:lineRule="exact"/>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10,942</w:t>
            </w:r>
          </w:p>
        </w:tc>
        <w:tc>
          <w:tcPr>
            <w:tcW w:w="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16,747</w:t>
            </w:r>
          </w:p>
        </w:tc>
        <w:tc>
          <w:tcPr>
            <w:tcW w:w="100" w:type="dxa"/>
            <w:vAlign w:val="bottom"/>
            <w:tcBorders>
              <w:bottom w:val="single" w:sz="8" w:color="CCEEFF"/>
            </w:tcBorders>
          </w:tcPr>
          <w:p>
            <w:pPr>
              <w:spacing w:after="0"/>
              <w:rPr>
                <w:sz w:val="16"/>
                <w:szCs w:val="16"/>
                <w:color w:val="auto"/>
              </w:rPr>
            </w:pPr>
          </w:p>
        </w:tc>
      </w:tr>
      <w:tr>
        <w:trPr>
          <w:trHeight w:val="291"/>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67,783</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48,608</w:t>
            </w:r>
          </w:p>
        </w:tc>
        <w:tc>
          <w:tcPr>
            <w:tcW w:w="100" w:type="dxa"/>
            <w:vAlign w:val="bottom"/>
            <w:shd w:val="clear" w:color="auto" w:fill="CCEEFF"/>
          </w:tcPr>
          <w:p>
            <w:pPr>
              <w:spacing w:after="0"/>
              <w:rPr>
                <w:sz w:val="24"/>
                <w:szCs w:val="24"/>
                <w:color w:val="auto"/>
              </w:rPr>
            </w:pPr>
          </w:p>
        </w:tc>
      </w:tr>
      <w:tr>
        <w:trPr>
          <w:trHeight w:val="297"/>
        </w:trPr>
        <w:tc>
          <w:tcPr>
            <w:tcW w:w="8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 term liabilities</w:t>
            </w: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4"/>
                <w:szCs w:val="24"/>
                <w:color w:val="auto"/>
              </w:rPr>
            </w:pPr>
          </w:p>
        </w:tc>
      </w:tr>
      <w:tr>
        <w:trPr>
          <w:trHeight w:val="291"/>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68,002</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48,672</w:t>
            </w:r>
          </w:p>
        </w:tc>
        <w:tc>
          <w:tcPr>
            <w:tcW w:w="100" w:type="dxa"/>
            <w:vAlign w:val="bottom"/>
            <w:shd w:val="clear" w:color="auto" w:fill="CCEEFF"/>
          </w:tcPr>
          <w:p>
            <w:pPr>
              <w:spacing w:after="0"/>
              <w:rPr>
                <w:sz w:val="24"/>
                <w:szCs w:val="24"/>
                <w:color w:val="auto"/>
              </w:rPr>
            </w:pPr>
          </w:p>
        </w:tc>
      </w:tr>
      <w:tr>
        <w:trPr>
          <w:trHeight w:val="297"/>
        </w:trPr>
        <w:tc>
          <w:tcPr>
            <w:tcW w:w="8700" w:type="dxa"/>
            <w:vAlign w:val="bottom"/>
          </w:tcPr>
          <w:p>
            <w:pPr>
              <w:spacing w:after="0"/>
              <w:rPr>
                <w:sz w:val="20"/>
                <w:szCs w:val="20"/>
                <w:color w:val="auto"/>
              </w:rPr>
            </w:pPr>
            <w:r>
              <w:rPr>
                <w:rFonts w:ascii="Arial" w:cs="Arial" w:eastAsia="Arial" w:hAnsi="Arial"/>
                <w:sz w:val="18"/>
                <w:szCs w:val="18"/>
                <w:color w:val="auto"/>
              </w:rPr>
              <w:t>Commitments and contingencies (Notes 7 and 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161"/>
        </w:trPr>
        <w:tc>
          <w:tcPr>
            <w:tcW w:w="8700" w:type="dxa"/>
            <w:vAlign w:val="bottom"/>
          </w:tcPr>
          <w:p>
            <w:pPr>
              <w:ind w:left="180"/>
              <w:spacing w:after="0" w:line="161" w:lineRule="exact"/>
              <w:rPr>
                <w:sz w:val="20"/>
                <w:szCs w:val="20"/>
                <w:color w:val="auto"/>
              </w:rPr>
            </w:pPr>
            <w:r>
              <w:rPr>
                <w:rFonts w:ascii="Arial" w:cs="Arial" w:eastAsia="Arial" w:hAnsi="Arial"/>
                <w:sz w:val="18"/>
                <w:szCs w:val="18"/>
                <w:color w:val="auto"/>
              </w:rPr>
              <w:t>Preferred stock, $0.0001 par value; Authorized: 5,000 shares at December 31, 2006 and 2005; Issued and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7"/>
        </w:trPr>
        <w:tc>
          <w:tcPr>
            <w:tcW w:w="8700" w:type="dxa"/>
            <w:vAlign w:val="bottom"/>
          </w:tcPr>
          <w:p>
            <w:pPr>
              <w:ind w:left="360"/>
              <w:spacing w:after="0"/>
              <w:rPr>
                <w:sz w:val="20"/>
                <w:szCs w:val="20"/>
                <w:color w:val="auto"/>
              </w:rPr>
            </w:pPr>
            <w:r>
              <w:rPr>
                <w:rFonts w:ascii="Arial" w:cs="Arial" w:eastAsia="Arial" w:hAnsi="Arial"/>
                <w:sz w:val="18"/>
                <w:szCs w:val="18"/>
                <w:color w:val="auto"/>
              </w:rPr>
              <w:t>Outstanding: no shares at December 31, 2006 and 2005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61"/>
        </w:trPr>
        <w:tc>
          <w:tcPr>
            <w:tcW w:w="8700" w:type="dxa"/>
            <w:vAlign w:val="bottom"/>
            <w:shd w:val="clear" w:color="auto" w:fill="CCEEFF"/>
          </w:tcPr>
          <w:p>
            <w:pPr>
              <w:ind w:left="180"/>
              <w:spacing w:after="0" w:line="161" w:lineRule="exact"/>
              <w:rPr>
                <w:sz w:val="20"/>
                <w:szCs w:val="20"/>
                <w:color w:val="auto"/>
              </w:rPr>
            </w:pPr>
            <w:r>
              <w:rPr>
                <w:rFonts w:ascii="Arial" w:cs="Arial" w:eastAsia="Arial" w:hAnsi="Arial"/>
                <w:sz w:val="18"/>
                <w:szCs w:val="18"/>
                <w:color w:val="auto"/>
                <w:w w:val="91"/>
              </w:rPr>
              <w:t>Common stock, $0.0001 par value, Authorized: 200,000 shares at December 31, 2006 and 2005; Issued: 64,899 and</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87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62,120 shares at December 31, 2006 and 2005, respectively; Outstanding: 64,859 and 62,080 shares at</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2006 and 2005, respectively</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189"/>
        </w:trPr>
        <w:tc>
          <w:tcPr>
            <w:tcW w:w="8700" w:type="dxa"/>
            <w:vAlign w:val="bottom"/>
          </w:tcPr>
          <w:p>
            <w:pPr>
              <w:ind w:left="180"/>
              <w:spacing w:after="0" w:line="189"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408,921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383,836</w:t>
            </w:r>
          </w:p>
        </w:tc>
        <w:tc>
          <w:tcPr>
            <w:tcW w:w="100" w:type="dxa"/>
            <w:vAlign w:val="bottom"/>
          </w:tcPr>
          <w:p>
            <w:pPr>
              <w:spacing w:after="0"/>
              <w:rPr>
                <w:sz w:val="16"/>
                <w:szCs w:val="16"/>
                <w:color w:val="auto"/>
              </w:rPr>
            </w:pPr>
          </w:p>
        </w:tc>
      </w:tr>
      <w:tr>
        <w:trPr>
          <w:trHeight w:val="189"/>
        </w:trPr>
        <w:tc>
          <w:tcPr>
            <w:tcW w:w="87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6"/>
                <w:szCs w:val="16"/>
                <w:color w:val="auto"/>
              </w:rPr>
            </w:pPr>
          </w:p>
        </w:tc>
      </w:tr>
      <w:tr>
        <w:trPr>
          <w:trHeight w:val="189"/>
        </w:trPr>
        <w:tc>
          <w:tcPr>
            <w:tcW w:w="8700" w:type="dxa"/>
            <w:vAlign w:val="bottom"/>
          </w:tcPr>
          <w:p>
            <w:pPr>
              <w:ind w:left="180"/>
              <w:spacing w:after="0" w:line="189"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(325,374)</w:t>
            </w:r>
          </w:p>
        </w:tc>
        <w:tc>
          <w:tcPr>
            <w:tcW w:w="26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(290,411)</w:t>
            </w:r>
          </w:p>
        </w:tc>
      </w:tr>
      <w:tr>
        <w:trPr>
          <w:trHeight w:val="291"/>
        </w:trPr>
        <w:tc>
          <w:tcPr>
            <w:tcW w:w="8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83,556</w:t>
            </w:r>
          </w:p>
        </w:tc>
        <w:tc>
          <w:tcPr>
            <w:tcW w:w="3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93,438</w:t>
            </w:r>
          </w:p>
        </w:tc>
        <w:tc>
          <w:tcPr>
            <w:tcW w:w="100" w:type="dxa"/>
            <w:vAlign w:val="bottom"/>
            <w:tcBorders>
              <w:top w:val="single" w:sz="8" w:color="CCEEFF"/>
            </w:tcBorders>
            <w:shd w:val="clear" w:color="auto" w:fill="CCEEFF"/>
          </w:tcPr>
          <w:p>
            <w:pPr>
              <w:spacing w:after="0"/>
              <w:rPr>
                <w:sz w:val="24"/>
                <w:szCs w:val="24"/>
                <w:color w:val="auto"/>
              </w:rPr>
            </w:pPr>
          </w:p>
        </w:tc>
      </w:tr>
      <w:tr>
        <w:trPr>
          <w:trHeight w:val="291"/>
        </w:trPr>
        <w:tc>
          <w:tcPr>
            <w:tcW w:w="870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151,558</w:t>
            </w:r>
          </w:p>
        </w:tc>
        <w:tc>
          <w:tcPr>
            <w:tcW w:w="3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142,110</w:t>
            </w:r>
          </w:p>
        </w:tc>
        <w:tc>
          <w:tcPr>
            <w:tcW w:w="100" w:type="dxa"/>
            <w:vAlign w:val="bottom"/>
          </w:tcPr>
          <w:p>
            <w:pPr>
              <w:spacing w:after="0"/>
              <w:rPr>
                <w:sz w:val="24"/>
                <w:szCs w:val="24"/>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260" w:right="2560"/>
        <w:spacing w:after="0" w:line="404" w:lineRule="auto"/>
        <w:rPr>
          <w:sz w:val="20"/>
          <w:szCs w:val="20"/>
          <w:color w:val="auto"/>
        </w:rPr>
      </w:pPr>
      <w:r>
        <w:rPr>
          <w:rFonts w:ascii="Arial" w:cs="Arial" w:eastAsia="Arial" w:hAnsi="Arial"/>
          <w:sz w:val="18"/>
          <w:szCs w:val="18"/>
          <w:b w:val="1"/>
          <w:bCs w:val="1"/>
          <w:color w:val="auto"/>
        </w:rPr>
        <w:t>ALIGN TECHNOLOGY, INC. AND SUBSIDIARIES CONSOLIDATED STATEMENTS OF STOCKHOLDERS’ EQUITY (DEFICIT) For the years ended December 31, 2006, 2005 and 2004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2"/>
              </w:rPr>
              <w:t>Notes</w:t>
            </w:r>
          </w:p>
        </w:tc>
        <w:tc>
          <w:tcPr>
            <w:tcW w:w="13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400"/>
              <w:spacing w:after="0" w:line="135" w:lineRule="exact"/>
              <w:rPr>
                <w:sz w:val="20"/>
                <w:szCs w:val="20"/>
                <w:color w:val="auto"/>
              </w:rPr>
            </w:pPr>
            <w:r>
              <w:rPr>
                <w:rFonts w:ascii="Arial" w:cs="Arial" w:eastAsia="Arial" w:hAnsi="Arial"/>
                <w:sz w:val="13"/>
                <w:szCs w:val="13"/>
                <w:b w:val="1"/>
                <w:bCs w:val="1"/>
                <w:color w:val="auto"/>
                <w:w w:val="89"/>
              </w:rPr>
              <w:t>Deferred</w:t>
            </w:r>
          </w:p>
        </w:tc>
        <w:tc>
          <w:tcPr>
            <w:tcW w:w="160" w:type="dxa"/>
            <w:vAlign w:val="bottom"/>
          </w:tcPr>
          <w:p>
            <w:pPr>
              <w:spacing w:after="0"/>
              <w:rPr>
                <w:sz w:val="11"/>
                <w:szCs w:val="11"/>
                <w:color w:val="auto"/>
              </w:rPr>
            </w:pPr>
          </w:p>
        </w:tc>
        <w:tc>
          <w:tcPr>
            <w:tcW w:w="92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Receivable</w:t>
            </w:r>
          </w:p>
        </w:tc>
        <w:tc>
          <w:tcPr>
            <w:tcW w:w="132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3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Paid-In</w:t>
            </w:r>
          </w:p>
        </w:tc>
        <w:tc>
          <w:tcPr>
            <w:tcW w:w="1220" w:type="dxa"/>
            <w:vAlign w:val="bottom"/>
            <w:gridSpan w:val="5"/>
          </w:tcPr>
          <w:p>
            <w:pPr>
              <w:ind w:left="220"/>
              <w:spacing w:after="0"/>
              <w:rPr>
                <w:sz w:val="20"/>
                <w:szCs w:val="20"/>
                <w:color w:val="auto"/>
              </w:rPr>
            </w:pPr>
            <w:r>
              <w:rPr>
                <w:rFonts w:ascii="Arial" w:cs="Arial" w:eastAsia="Arial" w:hAnsi="Arial"/>
                <w:sz w:val="13"/>
                <w:szCs w:val="13"/>
                <w:b w:val="1"/>
                <w:bCs w:val="1"/>
                <w:color w:val="auto"/>
              </w:rPr>
              <w:t>Stock-Based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9"/>
              </w:rPr>
              <w:t>from</w:t>
            </w:r>
          </w:p>
        </w:tc>
        <w:tc>
          <w:tcPr>
            <w:tcW w:w="13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900" w:type="dxa"/>
            <w:vAlign w:val="bottom"/>
            <w:gridSpan w:val="3"/>
          </w:tcPr>
          <w:p>
            <w:pPr>
              <w:jc w:val="right"/>
              <w:ind w:right="118"/>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9"/>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tcPr>
          <w:p>
            <w:pPr>
              <w:ind w:left="80"/>
              <w:spacing w:after="0" w:line="129" w:lineRule="exact"/>
              <w:rPr>
                <w:sz w:val="20"/>
                <w:szCs w:val="20"/>
                <w:color w:val="auto"/>
              </w:rPr>
            </w:pPr>
            <w:r>
              <w:rPr>
                <w:rFonts w:ascii="Arial" w:cs="Arial" w:eastAsia="Arial" w:hAnsi="Arial"/>
                <w:sz w:val="13"/>
                <w:szCs w:val="13"/>
                <w:b w:val="1"/>
                <w:bCs w:val="1"/>
                <w:color w:val="auto"/>
              </w:rPr>
              <w:t>Shares</w:t>
            </w: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260"/>
              <w:spacing w:after="0" w:line="129" w:lineRule="exact"/>
              <w:rPr>
                <w:sz w:val="20"/>
                <w:szCs w:val="20"/>
                <w:color w:val="auto"/>
              </w:rPr>
            </w:pPr>
            <w:r>
              <w:rPr>
                <w:rFonts w:ascii="Arial" w:cs="Arial" w:eastAsia="Arial" w:hAnsi="Arial"/>
                <w:sz w:val="13"/>
                <w:szCs w:val="13"/>
                <w:b w:val="1"/>
                <w:bCs w:val="1"/>
                <w:color w:val="auto"/>
                <w:w w:val="87"/>
              </w:rPr>
              <w:t>Capital</w:t>
            </w:r>
          </w:p>
        </w:tc>
        <w:tc>
          <w:tcPr>
            <w:tcW w:w="1220" w:type="dxa"/>
            <w:vAlign w:val="bottom"/>
            <w:gridSpan w:val="5"/>
          </w:tcPr>
          <w:p>
            <w:pPr>
              <w:jc w:val="center"/>
              <w:ind w:right="120"/>
              <w:spacing w:after="0" w:line="129" w:lineRule="exact"/>
              <w:rPr>
                <w:sz w:val="20"/>
                <w:szCs w:val="20"/>
                <w:color w:val="auto"/>
              </w:rPr>
            </w:pPr>
            <w:r>
              <w:rPr>
                <w:rFonts w:ascii="Arial" w:cs="Arial" w:eastAsia="Arial" w:hAnsi="Arial"/>
                <w:sz w:val="13"/>
                <w:szCs w:val="13"/>
                <w:b w:val="1"/>
                <w:bCs w:val="1"/>
                <w:color w:val="auto"/>
                <w:w w:val="86"/>
              </w:rPr>
              <w:t>Compensation</w:t>
            </w:r>
          </w:p>
        </w:tc>
        <w:tc>
          <w:tcPr>
            <w:tcW w:w="1080" w:type="dxa"/>
            <w:vAlign w:val="bottom"/>
            <w:gridSpan w:val="5"/>
          </w:tcPr>
          <w:p>
            <w:pPr>
              <w:jc w:val="center"/>
              <w:ind w:right="100"/>
              <w:spacing w:after="0" w:line="129" w:lineRule="exact"/>
              <w:rPr>
                <w:sz w:val="20"/>
                <w:szCs w:val="20"/>
                <w:color w:val="auto"/>
              </w:rPr>
            </w:pPr>
            <w:r>
              <w:rPr>
                <w:rFonts w:ascii="Arial" w:cs="Arial" w:eastAsia="Arial" w:hAnsi="Arial"/>
                <w:sz w:val="13"/>
                <w:szCs w:val="13"/>
                <w:b w:val="1"/>
                <w:bCs w:val="1"/>
                <w:color w:val="auto"/>
                <w:w w:val="84"/>
              </w:rPr>
              <w:t>Stockholders</w:t>
            </w:r>
          </w:p>
        </w:tc>
        <w:tc>
          <w:tcPr>
            <w:tcW w:w="1320" w:type="dxa"/>
            <w:vAlign w:val="bottom"/>
            <w:gridSpan w:val="5"/>
          </w:tcPr>
          <w:p>
            <w:pPr>
              <w:jc w:val="center"/>
              <w:ind w:right="120"/>
              <w:spacing w:after="0" w:line="129" w:lineRule="exact"/>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98"/>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Total</w:t>
            </w:r>
          </w:p>
        </w:tc>
      </w:tr>
      <w:tr>
        <w:trPr>
          <w:trHeight w:val="129"/>
        </w:trPr>
        <w:tc>
          <w:tcPr>
            <w:tcW w:w="34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Balances at December 31, 2003</w:t>
            </w: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58,753</w:t>
            </w: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77"/>
              <w:spacing w:after="0" w:line="129"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368,796</w:t>
            </w: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ind w:left="220"/>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(5,219)</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gridSpan w:val="2"/>
            <w:shd w:val="clear" w:color="auto" w:fill="CCEEFF"/>
          </w:tcPr>
          <w:p>
            <w:pPr>
              <w:jc w:val="right"/>
              <w:ind w:right="9"/>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(17)</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gridSpan w:val="2"/>
            <w:shd w:val="clear" w:color="auto" w:fill="CCEEFF"/>
          </w:tcPr>
          <w:p>
            <w:pPr>
              <w:jc w:val="right"/>
              <w:ind w:right="29"/>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gridSpan w:val="2"/>
            <w:shd w:val="clear" w:color="auto" w:fill="CCEEFF"/>
          </w:tcPr>
          <w:p>
            <w:pPr>
              <w:jc w:val="right"/>
              <w:ind w:right="38"/>
              <w:spacing w:after="0" w:line="129" w:lineRule="exact"/>
              <w:rPr>
                <w:sz w:val="20"/>
                <w:szCs w:val="20"/>
                <w:color w:val="auto"/>
              </w:rPr>
            </w:pPr>
            <w:r>
              <w:rPr>
                <w:rFonts w:ascii="Arial" w:cs="Arial" w:eastAsia="Arial" w:hAnsi="Arial"/>
                <w:sz w:val="13"/>
                <w:szCs w:val="13"/>
                <w:color w:val="auto"/>
              </w:rPr>
              <w:t>(300,592)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62,976</w:t>
            </w:r>
          </w:p>
        </w:tc>
        <w:tc>
          <w:tcPr>
            <w:tcW w:w="140" w:type="dxa"/>
            <w:vAlign w:val="bottom"/>
            <w:tcBorders>
              <w:top w:val="single" w:sz="8" w:color="CCEEFF"/>
            </w:tcBorders>
            <w:shd w:val="clear" w:color="auto" w:fill="CCEEFF"/>
          </w:tcPr>
          <w:p>
            <w:pPr>
              <w:spacing w:after="0"/>
              <w:rPr>
                <w:sz w:val="11"/>
                <w:szCs w:val="11"/>
                <w:color w:val="auto"/>
              </w:rPr>
            </w:pPr>
          </w:p>
        </w:tc>
      </w:tr>
      <w:tr>
        <w:trPr>
          <w:trHeight w:val="243"/>
        </w:trPr>
        <w:tc>
          <w:tcPr>
            <w:tcW w:w="3500" w:type="dxa"/>
            <w:vAlign w:val="bottom"/>
            <w:gridSpan w:val="2"/>
          </w:tcPr>
          <w:p>
            <w:pPr>
              <w:spacing w:after="0"/>
              <w:rPr>
                <w:sz w:val="20"/>
                <w:szCs w:val="20"/>
                <w:color w:val="auto"/>
              </w:rPr>
            </w:pPr>
            <w:r>
              <w:rPr>
                <w:rFonts w:ascii="Arial" w:cs="Arial" w:eastAsia="Arial" w:hAnsi="Arial"/>
                <w:sz w:val="13"/>
                <w:szCs w:val="13"/>
                <w:color w:val="auto"/>
              </w:rPr>
              <w:t>Net profit</w:t>
            </w:r>
          </w:p>
        </w:tc>
        <w:tc>
          <w:tcPr>
            <w:tcW w:w="780" w:type="dxa"/>
            <w:vAlign w:val="bottom"/>
            <w:gridSpan w:val="4"/>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8,768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8,768</w:t>
            </w:r>
          </w:p>
        </w:tc>
        <w:tc>
          <w:tcPr>
            <w:tcW w:w="140" w:type="dxa"/>
            <w:vAlign w:val="bottom"/>
          </w:tcPr>
          <w:p>
            <w:pPr>
              <w:spacing w:after="0"/>
              <w:rPr>
                <w:sz w:val="21"/>
                <w:szCs w:val="21"/>
                <w:color w:val="auto"/>
              </w:rPr>
            </w:pPr>
          </w:p>
        </w:tc>
      </w:tr>
      <w:tr>
        <w:trPr>
          <w:trHeight w:val="135"/>
        </w:trPr>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6"/>
              </w:rPr>
              <w:t>Net change in unrealized loss from available-for sale securities</w:t>
            </w:r>
          </w:p>
        </w:tc>
        <w:tc>
          <w:tcPr>
            <w:tcW w:w="780" w:type="dxa"/>
            <w:vAlign w:val="bottom"/>
            <w:gridSpan w:val="4"/>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w:t>
            </w:r>
          </w:p>
        </w:tc>
      </w:tr>
      <w:tr>
        <w:trPr>
          <w:trHeight w:val="129"/>
        </w:trPr>
        <w:tc>
          <w:tcPr>
            <w:tcW w:w="35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Comprehensive net income</w:t>
            </w:r>
          </w:p>
        </w:tc>
        <w:tc>
          <w:tcPr>
            <w:tcW w:w="5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8,764</w:t>
            </w:r>
          </w:p>
        </w:tc>
        <w:tc>
          <w:tcPr>
            <w:tcW w:w="140" w:type="dxa"/>
            <w:vAlign w:val="bottom"/>
            <w:tcBorders>
              <w:bottom w:val="single" w:sz="8" w:color="CCEEFF"/>
            </w:tcBorders>
          </w:tcPr>
          <w:p>
            <w:pPr>
              <w:spacing w:after="0"/>
              <w:rPr>
                <w:sz w:val="11"/>
                <w:szCs w:val="11"/>
                <w:color w:val="auto"/>
              </w:rPr>
            </w:pPr>
          </w:p>
        </w:tc>
      </w:tr>
      <w:tr>
        <w:trPr>
          <w:trHeight w:val="101"/>
        </w:trPr>
        <w:tc>
          <w:tcPr>
            <w:tcW w:w="35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Issuance of common stock relating to employee stock purchase</w:t>
            </w: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149"/>
        </w:trPr>
        <w:tc>
          <w:tcPr>
            <w:tcW w:w="3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plan</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w:t>
            </w:r>
          </w:p>
        </w:tc>
        <w:tc>
          <w:tcPr>
            <w:tcW w:w="140" w:type="dxa"/>
            <w:vAlign w:val="bottom"/>
            <w:shd w:val="clear" w:color="auto" w:fill="CCEEFF"/>
          </w:tcPr>
          <w:p>
            <w:pPr>
              <w:spacing w:after="0"/>
              <w:rPr>
                <w:sz w:val="12"/>
                <w:szCs w:val="12"/>
                <w:color w:val="auto"/>
              </w:rPr>
            </w:pPr>
          </w:p>
        </w:tc>
      </w:tr>
      <w:tr>
        <w:trPr>
          <w:trHeight w:val="135"/>
        </w:trPr>
        <w:tc>
          <w:tcPr>
            <w:tcW w:w="3500" w:type="dxa"/>
            <w:vAlign w:val="bottom"/>
            <w:gridSpan w:val="2"/>
          </w:tcPr>
          <w:p>
            <w:pPr>
              <w:spacing w:after="0" w:line="135" w:lineRule="exact"/>
              <w:rPr>
                <w:sz w:val="20"/>
                <w:szCs w:val="20"/>
                <w:color w:val="auto"/>
              </w:rPr>
            </w:pPr>
            <w:r>
              <w:rPr>
                <w:rFonts w:ascii="Arial" w:cs="Arial" w:eastAsia="Arial" w:hAnsi="Arial"/>
                <w:sz w:val="13"/>
                <w:szCs w:val="13"/>
                <w:color w:val="auto"/>
              </w:rPr>
              <w:t>Issuance of common stock upon exercise of stock options</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1,695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6,389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5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6,389</w:t>
            </w:r>
          </w:p>
        </w:tc>
        <w:tc>
          <w:tcPr>
            <w:tcW w:w="140" w:type="dxa"/>
            <w:vAlign w:val="bottom"/>
          </w:tcPr>
          <w:p>
            <w:pPr>
              <w:spacing w:after="0"/>
              <w:rPr>
                <w:sz w:val="11"/>
                <w:szCs w:val="11"/>
                <w:color w:val="auto"/>
              </w:rPr>
            </w:pPr>
          </w:p>
        </w:tc>
      </w:tr>
      <w:tr>
        <w:trPr>
          <w:trHeight w:val="135"/>
        </w:trPr>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5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r>
      <w:tr>
        <w:trPr>
          <w:trHeight w:val="135"/>
        </w:trPr>
        <w:tc>
          <w:tcPr>
            <w:tcW w:w="3500" w:type="dxa"/>
            <w:vAlign w:val="bottom"/>
            <w:gridSpan w:val="2"/>
          </w:tcPr>
          <w:p>
            <w:pPr>
              <w:spacing w:after="0" w:line="135" w:lineRule="exact"/>
              <w:rPr>
                <w:sz w:val="20"/>
                <w:szCs w:val="20"/>
                <w:color w:val="auto"/>
              </w:rPr>
            </w:pPr>
            <w:r>
              <w:rPr>
                <w:rFonts w:ascii="Arial" w:cs="Arial" w:eastAsia="Arial" w:hAnsi="Arial"/>
                <w:sz w:val="13"/>
                <w:szCs w:val="13"/>
                <w:color w:val="auto"/>
              </w:rPr>
              <w:t>Payments on stockholder notes receivable</w:t>
            </w:r>
          </w:p>
        </w:tc>
        <w:tc>
          <w:tcPr>
            <w:tcW w:w="780" w:type="dxa"/>
            <w:vAlign w:val="bottom"/>
            <w:gridSpan w:val="4"/>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5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tcPr>
          <w:p>
            <w:pPr>
              <w:spacing w:after="0"/>
              <w:rPr>
                <w:sz w:val="11"/>
                <w:szCs w:val="11"/>
                <w:color w:val="auto"/>
              </w:rPr>
            </w:pPr>
          </w:p>
        </w:tc>
      </w:tr>
      <w:tr>
        <w:trPr>
          <w:trHeight w:val="135"/>
        </w:trPr>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Cancellations, net of deferred stock compensation</w:t>
            </w:r>
          </w:p>
        </w:tc>
        <w:tc>
          <w:tcPr>
            <w:tcW w:w="780" w:type="dxa"/>
            <w:vAlign w:val="bottom"/>
            <w:gridSpan w:val="4"/>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5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3500" w:type="dxa"/>
            <w:vAlign w:val="bottom"/>
            <w:gridSpan w:val="2"/>
          </w:tcPr>
          <w:p>
            <w:pPr>
              <w:spacing w:after="0" w:line="135" w:lineRule="exact"/>
              <w:rPr>
                <w:sz w:val="20"/>
                <w:szCs w:val="20"/>
                <w:color w:val="auto"/>
              </w:rPr>
            </w:pPr>
            <w:r>
              <w:rPr>
                <w:rFonts w:ascii="Arial" w:cs="Arial" w:eastAsia="Arial" w:hAnsi="Arial"/>
                <w:sz w:val="13"/>
                <w:szCs w:val="13"/>
                <w:color w:val="auto"/>
              </w:rPr>
              <w:t>Amortization of deferred stock compensation</w:t>
            </w:r>
          </w:p>
        </w:tc>
        <w:tc>
          <w:tcPr>
            <w:tcW w:w="780" w:type="dxa"/>
            <w:vAlign w:val="bottom"/>
            <w:gridSpan w:val="4"/>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5,089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5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5,089</w:t>
            </w:r>
          </w:p>
        </w:tc>
        <w:tc>
          <w:tcPr>
            <w:tcW w:w="140" w:type="dxa"/>
            <w:vAlign w:val="bottom"/>
          </w:tcPr>
          <w:p>
            <w:pPr>
              <w:spacing w:after="0"/>
              <w:rPr>
                <w:sz w:val="11"/>
                <w:szCs w:val="11"/>
                <w:color w:val="auto"/>
              </w:rPr>
            </w:pPr>
          </w:p>
        </w:tc>
      </w:tr>
      <w:tr>
        <w:trPr>
          <w:trHeight w:val="121"/>
        </w:trPr>
        <w:tc>
          <w:tcPr>
            <w:tcW w:w="35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Charge for compensation expense on non-employee stock</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9"/>
        </w:trPr>
        <w:tc>
          <w:tcPr>
            <w:tcW w:w="3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options</w:t>
            </w:r>
          </w:p>
        </w:tc>
        <w:tc>
          <w:tcPr>
            <w:tcW w:w="78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40" w:type="dxa"/>
            <w:vAlign w:val="bottom"/>
            <w:shd w:val="clear" w:color="auto" w:fill="CCEEFF"/>
          </w:tcPr>
          <w:p>
            <w:pPr>
              <w:spacing w:after="0"/>
              <w:rPr>
                <w:sz w:val="12"/>
                <w:szCs w:val="12"/>
                <w:color w:val="auto"/>
              </w:rPr>
            </w:pPr>
          </w:p>
        </w:tc>
      </w:tr>
      <w:tr>
        <w:trPr>
          <w:trHeight w:val="135"/>
        </w:trPr>
        <w:tc>
          <w:tcPr>
            <w:tcW w:w="350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Charge for accelerated vesting of employee stock options</w:t>
            </w: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3"/>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350</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gridSpan w:val="2"/>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350</w:t>
            </w:r>
          </w:p>
        </w:tc>
        <w:tc>
          <w:tcPr>
            <w:tcW w:w="140" w:type="dxa"/>
            <w:vAlign w:val="bottom"/>
            <w:tcBorders>
              <w:bottom w:val="single" w:sz="8" w:color="CCEEFF"/>
            </w:tcBorders>
          </w:tcPr>
          <w:p>
            <w:pPr>
              <w:spacing w:after="0"/>
              <w:rPr>
                <w:sz w:val="11"/>
                <w:szCs w:val="11"/>
                <w:color w:val="auto"/>
              </w:rPr>
            </w:pPr>
          </w:p>
        </w:tc>
      </w:tr>
      <w:tr>
        <w:trPr>
          <w:trHeight w:val="129"/>
        </w:trPr>
        <w:tc>
          <w:tcPr>
            <w:tcW w:w="35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Balances at December 31, 2004</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60,876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77"/>
              <w:spacing w:after="0" w:line="129" w:lineRule="exact"/>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377,559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420"/>
              <w:spacing w:after="0" w:line="129"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(291,824)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85,739</w:t>
            </w:r>
          </w:p>
        </w:tc>
        <w:tc>
          <w:tcPr>
            <w:tcW w:w="140" w:type="dxa"/>
            <w:vAlign w:val="bottom"/>
            <w:shd w:val="clear" w:color="auto" w:fill="CCEEFF"/>
          </w:tcPr>
          <w:p>
            <w:pPr>
              <w:spacing w:after="0"/>
              <w:rPr>
                <w:sz w:val="11"/>
                <w:szCs w:val="11"/>
                <w:color w:val="auto"/>
              </w:rPr>
            </w:pPr>
          </w:p>
        </w:tc>
      </w:tr>
      <w:tr>
        <w:trPr>
          <w:trHeight w:val="243"/>
        </w:trPr>
        <w:tc>
          <w:tcPr>
            <w:tcW w:w="3500" w:type="dxa"/>
            <w:vAlign w:val="bottom"/>
            <w:gridSpan w:val="2"/>
          </w:tcPr>
          <w:p>
            <w:pPr>
              <w:spacing w:after="0"/>
              <w:rPr>
                <w:sz w:val="20"/>
                <w:szCs w:val="20"/>
                <w:color w:val="auto"/>
              </w:rPr>
            </w:pPr>
            <w:r>
              <w:rPr>
                <w:rFonts w:ascii="Arial" w:cs="Arial" w:eastAsia="Arial" w:hAnsi="Arial"/>
                <w:sz w:val="13"/>
                <w:szCs w:val="13"/>
                <w:color w:val="auto"/>
              </w:rPr>
              <w:t>Net profit</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1,413</w:t>
            </w:r>
          </w:p>
        </w:tc>
        <w:tc>
          <w:tcPr>
            <w:tcW w:w="140" w:type="dxa"/>
            <w:vAlign w:val="bottom"/>
          </w:tcPr>
          <w:p>
            <w:pPr>
              <w:spacing w:after="0"/>
              <w:rPr>
                <w:sz w:val="21"/>
                <w:szCs w:val="21"/>
                <w:color w:val="auto"/>
              </w:rPr>
            </w:pPr>
          </w:p>
        </w:tc>
      </w:tr>
      <w:tr>
        <w:trPr>
          <w:trHeight w:val="135"/>
        </w:trPr>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6"/>
              </w:rPr>
              <w:t>Net change in unrealized gain from available-for sale securities</w:t>
            </w:r>
          </w:p>
        </w:tc>
        <w:tc>
          <w:tcPr>
            <w:tcW w:w="780" w:type="dxa"/>
            <w:vAlign w:val="bottom"/>
            <w:gridSpan w:val="4"/>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r>
      <w:tr>
        <w:trPr>
          <w:trHeight w:val="129"/>
        </w:trPr>
        <w:tc>
          <w:tcPr>
            <w:tcW w:w="350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Comprehensive net income</w:t>
            </w:r>
          </w:p>
        </w:tc>
        <w:tc>
          <w:tcPr>
            <w:tcW w:w="5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1,422</w:t>
            </w:r>
          </w:p>
        </w:tc>
        <w:tc>
          <w:tcPr>
            <w:tcW w:w="140" w:type="dxa"/>
            <w:vAlign w:val="bottom"/>
            <w:tcBorders>
              <w:bottom w:val="single" w:sz="8" w:color="CCEEFF"/>
            </w:tcBorders>
          </w:tcPr>
          <w:p>
            <w:pPr>
              <w:spacing w:after="0"/>
              <w:rPr>
                <w:sz w:val="11"/>
                <w:szCs w:val="11"/>
                <w:color w:val="auto"/>
              </w:rPr>
            </w:pPr>
          </w:p>
        </w:tc>
      </w:tr>
      <w:tr>
        <w:trPr>
          <w:trHeight w:val="101"/>
        </w:trPr>
        <w:tc>
          <w:tcPr>
            <w:tcW w:w="350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Issuance of common stock relating to employee stock purchase</w:t>
            </w: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149"/>
        </w:trPr>
        <w:tc>
          <w:tcPr>
            <w:tcW w:w="3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plan</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2,167</w:t>
            </w:r>
          </w:p>
        </w:tc>
        <w:tc>
          <w:tcPr>
            <w:tcW w:w="140" w:type="dxa"/>
            <w:vAlign w:val="bottom"/>
            <w:shd w:val="clear" w:color="auto" w:fill="CCEEFF"/>
          </w:tcPr>
          <w:p>
            <w:pPr>
              <w:spacing w:after="0"/>
              <w:rPr>
                <w:sz w:val="12"/>
                <w:szCs w:val="12"/>
                <w:color w:val="auto"/>
              </w:rPr>
            </w:pPr>
          </w:p>
        </w:tc>
      </w:tr>
      <w:tr>
        <w:trPr>
          <w:trHeight w:val="135"/>
        </w:trPr>
        <w:tc>
          <w:tcPr>
            <w:tcW w:w="3500" w:type="dxa"/>
            <w:vAlign w:val="bottom"/>
            <w:gridSpan w:val="2"/>
          </w:tcPr>
          <w:p>
            <w:pPr>
              <w:spacing w:after="0" w:line="135" w:lineRule="exact"/>
              <w:rPr>
                <w:sz w:val="20"/>
                <w:szCs w:val="20"/>
                <w:color w:val="auto"/>
              </w:rPr>
            </w:pPr>
            <w:r>
              <w:rPr>
                <w:rFonts w:ascii="Arial" w:cs="Arial" w:eastAsia="Arial" w:hAnsi="Arial"/>
                <w:sz w:val="13"/>
                <w:szCs w:val="13"/>
                <w:color w:val="auto"/>
              </w:rPr>
              <w:t>Issuance of common stock upon exercise of stock options</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3,417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5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3,417</w:t>
            </w:r>
          </w:p>
        </w:tc>
        <w:tc>
          <w:tcPr>
            <w:tcW w:w="140" w:type="dxa"/>
            <w:vAlign w:val="bottom"/>
          </w:tcPr>
          <w:p>
            <w:pPr>
              <w:spacing w:after="0"/>
              <w:rPr>
                <w:sz w:val="11"/>
                <w:szCs w:val="11"/>
                <w:color w:val="auto"/>
              </w:rPr>
            </w:pPr>
          </w:p>
        </w:tc>
      </w:tr>
      <w:tr>
        <w:trPr>
          <w:trHeight w:val="135"/>
        </w:trPr>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Tax benefit from stock option transactions</w:t>
            </w:r>
          </w:p>
        </w:tc>
        <w:tc>
          <w:tcPr>
            <w:tcW w:w="780" w:type="dxa"/>
            <w:vAlign w:val="bottom"/>
            <w:gridSpan w:val="4"/>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5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581</w:t>
            </w:r>
          </w:p>
        </w:tc>
        <w:tc>
          <w:tcPr>
            <w:tcW w:w="140" w:type="dxa"/>
            <w:vAlign w:val="bottom"/>
            <w:shd w:val="clear" w:color="auto" w:fill="CCEEFF"/>
          </w:tcPr>
          <w:p>
            <w:pPr>
              <w:spacing w:after="0"/>
              <w:rPr>
                <w:sz w:val="11"/>
                <w:szCs w:val="11"/>
                <w:color w:val="auto"/>
              </w:rPr>
            </w:pPr>
          </w:p>
        </w:tc>
      </w:tr>
      <w:tr>
        <w:trPr>
          <w:trHeight w:val="121"/>
        </w:trPr>
        <w:tc>
          <w:tcPr>
            <w:tcW w:w="3500" w:type="dxa"/>
            <w:vAlign w:val="bottom"/>
            <w:gridSpan w:val="2"/>
          </w:tcPr>
          <w:p>
            <w:pPr>
              <w:spacing w:after="0" w:line="121" w:lineRule="exact"/>
              <w:rPr>
                <w:sz w:val="20"/>
                <w:szCs w:val="20"/>
                <w:color w:val="auto"/>
              </w:rPr>
            </w:pPr>
            <w:r>
              <w:rPr>
                <w:rFonts w:ascii="Arial" w:cs="Arial" w:eastAsia="Arial" w:hAnsi="Arial"/>
                <w:sz w:val="13"/>
                <w:szCs w:val="13"/>
                <w:color w:val="auto"/>
              </w:rPr>
              <w:t>Charge for compensation expense on non-employee 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9"/>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options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w:t>
            </w:r>
          </w:p>
        </w:tc>
        <w:tc>
          <w:tcPr>
            <w:tcW w:w="140" w:type="dxa"/>
            <w:vAlign w:val="bottom"/>
          </w:tcPr>
          <w:p>
            <w:pPr>
              <w:spacing w:after="0"/>
              <w:rPr>
                <w:sz w:val="12"/>
                <w:szCs w:val="12"/>
                <w:color w:val="auto"/>
              </w:rPr>
            </w:pPr>
          </w:p>
        </w:tc>
      </w:tr>
      <w:tr>
        <w:trPr>
          <w:trHeight w:val="135"/>
        </w:trPr>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Charge for accelerated vesting of employee stock options</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5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c>
          <w:tcPr>
            <w:tcW w:w="140" w:type="dxa"/>
            <w:vAlign w:val="bottom"/>
            <w:shd w:val="clear" w:color="auto" w:fill="CCEEFF"/>
          </w:tcPr>
          <w:p>
            <w:pPr>
              <w:spacing w:after="0"/>
              <w:rPr>
                <w:sz w:val="11"/>
                <w:szCs w:val="11"/>
                <w:color w:val="auto"/>
              </w:rPr>
            </w:pPr>
          </w:p>
        </w:tc>
      </w:tr>
      <w:tr>
        <w:trPr>
          <w:trHeight w:val="129"/>
        </w:trPr>
        <w:tc>
          <w:tcPr>
            <w:tcW w:w="3500" w:type="dxa"/>
            <w:vAlign w:val="bottom"/>
            <w:gridSpan w:val="2"/>
          </w:tcPr>
          <w:p>
            <w:pPr>
              <w:spacing w:after="0" w:line="129" w:lineRule="exact"/>
              <w:rPr>
                <w:sz w:val="20"/>
                <w:szCs w:val="20"/>
                <w:color w:val="auto"/>
              </w:rPr>
            </w:pPr>
            <w:r>
              <w:rPr>
                <w:rFonts w:ascii="Arial" w:cs="Arial" w:eastAsia="Arial" w:hAnsi="Arial"/>
                <w:sz w:val="13"/>
                <w:szCs w:val="13"/>
                <w:color w:val="auto"/>
              </w:rPr>
              <w:t>Balances at December 31, 2005</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62,080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383,836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(290,411)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93,438</w:t>
            </w:r>
          </w:p>
        </w:tc>
        <w:tc>
          <w:tcPr>
            <w:tcW w:w="140" w:type="dxa"/>
            <w:vAlign w:val="bottom"/>
          </w:tcPr>
          <w:p>
            <w:pPr>
              <w:spacing w:after="0"/>
              <w:rPr>
                <w:sz w:val="11"/>
                <w:szCs w:val="11"/>
                <w:color w:val="auto"/>
              </w:rPr>
            </w:pPr>
          </w:p>
        </w:tc>
      </w:tr>
      <w:tr>
        <w:trPr>
          <w:trHeight w:val="243"/>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(34,963)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(34,963)</w:t>
            </w:r>
          </w:p>
        </w:tc>
      </w:tr>
      <w:tr>
        <w:trPr>
          <w:trHeight w:val="135"/>
        </w:trPr>
        <w:tc>
          <w:tcPr>
            <w:tcW w:w="3500" w:type="dxa"/>
            <w:vAlign w:val="bottom"/>
            <w:gridSpan w:val="2"/>
          </w:tcPr>
          <w:p>
            <w:pPr>
              <w:spacing w:after="0" w:line="135" w:lineRule="exact"/>
              <w:rPr>
                <w:sz w:val="20"/>
                <w:szCs w:val="20"/>
                <w:color w:val="auto"/>
              </w:rPr>
            </w:pPr>
            <w:r>
              <w:rPr>
                <w:rFonts w:ascii="Arial" w:cs="Arial" w:eastAsia="Arial" w:hAnsi="Arial"/>
                <w:sz w:val="13"/>
                <w:szCs w:val="13"/>
                <w:color w:val="auto"/>
                <w:w w:val="96"/>
              </w:rPr>
              <w:t>Net change in unrealized loss from available-for sale securities</w:t>
            </w:r>
          </w:p>
        </w:tc>
        <w:tc>
          <w:tcPr>
            <w:tcW w:w="780" w:type="dxa"/>
            <w:vAlign w:val="bottom"/>
            <w:gridSpan w:val="4"/>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w:t>
            </w:r>
          </w:p>
        </w:tc>
      </w:tr>
      <w:tr>
        <w:trPr>
          <w:trHeight w:val="129"/>
        </w:trPr>
        <w:tc>
          <w:tcPr>
            <w:tcW w:w="35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Comprehensive net loss</w:t>
            </w:r>
          </w:p>
        </w:tc>
        <w:tc>
          <w:tcPr>
            <w:tcW w:w="5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(34,967)</w:t>
            </w:r>
          </w:p>
        </w:tc>
        <w:tc>
          <w:tcPr>
            <w:tcW w:w="140" w:type="dxa"/>
            <w:vAlign w:val="bottom"/>
            <w:tcBorders>
              <w:top w:val="single" w:sz="8" w:color="CCEEFF"/>
            </w:tcBorders>
            <w:shd w:val="clear" w:color="auto" w:fill="CCEEFF"/>
          </w:tcPr>
          <w:p>
            <w:pPr>
              <w:spacing w:after="0"/>
              <w:rPr>
                <w:sz w:val="11"/>
                <w:szCs w:val="11"/>
                <w:color w:val="auto"/>
              </w:rPr>
            </w:pPr>
          </w:p>
        </w:tc>
      </w:tr>
      <w:tr>
        <w:trPr>
          <w:trHeight w:val="101"/>
        </w:trPr>
        <w:tc>
          <w:tcPr>
            <w:tcW w:w="3500" w:type="dxa"/>
            <w:vAlign w:val="bottom"/>
            <w:gridSpan w:val="2"/>
          </w:tcPr>
          <w:p>
            <w:pPr>
              <w:spacing w:after="0" w:line="101" w:lineRule="exact"/>
              <w:rPr>
                <w:sz w:val="20"/>
                <w:szCs w:val="20"/>
                <w:color w:val="auto"/>
              </w:rPr>
            </w:pPr>
            <w:r>
              <w:rPr>
                <w:rFonts w:ascii="Arial" w:cs="Arial" w:eastAsia="Arial" w:hAnsi="Arial"/>
                <w:sz w:val="11"/>
                <w:szCs w:val="11"/>
                <w:color w:val="auto"/>
              </w:rPr>
              <w:t>Issuance of common stock relating to employee stock purchase</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49"/>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plan</w:t>
            </w:r>
          </w:p>
        </w:tc>
        <w:tc>
          <w:tcPr>
            <w:tcW w:w="520" w:type="dxa"/>
            <w:vAlign w:val="bottom"/>
          </w:tcPr>
          <w:p>
            <w:pPr>
              <w:jc w:val="right"/>
              <w:spacing w:after="0"/>
              <w:rPr>
                <w:sz w:val="20"/>
                <w:szCs w:val="20"/>
                <w:color w:val="auto"/>
              </w:rPr>
            </w:pPr>
            <w:r>
              <w:rPr>
                <w:rFonts w:ascii="Arial" w:cs="Arial" w:eastAsia="Arial" w:hAnsi="Arial"/>
                <w:sz w:val="13"/>
                <w:szCs w:val="13"/>
                <w:color w:val="auto"/>
              </w:rPr>
              <w:t>462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2,583</w:t>
            </w:r>
          </w:p>
        </w:tc>
        <w:tc>
          <w:tcPr>
            <w:tcW w:w="140" w:type="dxa"/>
            <w:vAlign w:val="bottom"/>
          </w:tcPr>
          <w:p>
            <w:pPr>
              <w:spacing w:after="0"/>
              <w:rPr>
                <w:sz w:val="12"/>
                <w:szCs w:val="12"/>
                <w:color w:val="auto"/>
              </w:rPr>
            </w:pPr>
          </w:p>
        </w:tc>
      </w:tr>
      <w:tr>
        <w:trPr>
          <w:trHeight w:val="135"/>
        </w:trPr>
        <w:tc>
          <w:tcPr>
            <w:tcW w:w="35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 upon exercise of stock options</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13,592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5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13,592</w:t>
            </w:r>
          </w:p>
        </w:tc>
        <w:tc>
          <w:tcPr>
            <w:tcW w:w="140" w:type="dxa"/>
            <w:vAlign w:val="bottom"/>
            <w:shd w:val="clear" w:color="auto" w:fill="CCEEFF"/>
          </w:tcPr>
          <w:p>
            <w:pPr>
              <w:spacing w:after="0"/>
              <w:rPr>
                <w:sz w:val="11"/>
                <w:szCs w:val="11"/>
                <w:color w:val="auto"/>
              </w:rPr>
            </w:pPr>
          </w:p>
        </w:tc>
      </w:tr>
      <w:tr>
        <w:trPr>
          <w:trHeight w:val="135"/>
        </w:trPr>
        <w:tc>
          <w:tcPr>
            <w:tcW w:w="3500" w:type="dxa"/>
            <w:vAlign w:val="bottom"/>
            <w:gridSpan w:val="2"/>
          </w:tcPr>
          <w:p>
            <w:pPr>
              <w:spacing w:after="0" w:line="135" w:lineRule="exact"/>
              <w:rPr>
                <w:sz w:val="20"/>
                <w:szCs w:val="20"/>
                <w:color w:val="auto"/>
              </w:rPr>
            </w:pPr>
            <w:r>
              <w:rPr>
                <w:rFonts w:ascii="Arial" w:cs="Arial" w:eastAsia="Arial" w:hAnsi="Arial"/>
                <w:sz w:val="13"/>
                <w:szCs w:val="13"/>
                <w:color w:val="auto"/>
              </w:rPr>
              <w:t>Stock-based compensation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8,910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5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8,910</w:t>
            </w:r>
          </w:p>
        </w:tc>
        <w:tc>
          <w:tcPr>
            <w:tcW w:w="140" w:type="dxa"/>
            <w:vAlign w:val="bottom"/>
          </w:tcPr>
          <w:p>
            <w:pPr>
              <w:spacing w:after="0"/>
              <w:rPr>
                <w:sz w:val="11"/>
                <w:szCs w:val="11"/>
                <w:color w:val="auto"/>
              </w:rPr>
            </w:pPr>
          </w:p>
        </w:tc>
      </w:tr>
      <w:tr>
        <w:trPr>
          <w:trHeight w:val="142"/>
        </w:trPr>
        <w:tc>
          <w:tcPr>
            <w:tcW w:w="3500" w:type="dxa"/>
            <w:vAlign w:val="bottom"/>
            <w:tcBorders>
              <w:top w:val="single" w:sz="8" w:color="CCEEFF"/>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Balances at December 31, 2006</w:t>
            </w:r>
          </w:p>
        </w:tc>
        <w:tc>
          <w:tcPr>
            <w:tcW w:w="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64,859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77"/>
              <w:spacing w:after="0" w:line="143"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408,921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w:t>
            </w:r>
          </w:p>
        </w:tc>
        <w:tc>
          <w:tcPr>
            <w:tcW w:w="4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(325,374</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83,556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ectPr>
          <w:pgSz w:w="11900" w:h="16838" w:orient="portrait"/>
          <w:cols w:equalWidth="0" w:num="1">
            <w:col w:w="11420"/>
          </w:cols>
          <w:pgMar w:left="240" w:top="120" w:right="239" w:bottom="0" w:gutter="0" w:footer="0" w:header="0"/>
        </w:sectPr>
      </w:pPr>
    </w:p>
    <w:bookmarkStart w:id="36" w:name="page37"/>
    <w:bookmarkEnd w:id="36"/>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746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CCEEFF"/>
            </w:tcBorders>
          </w:tcPr>
          <w:p>
            <w:pPr>
              <w:spacing w:after="0"/>
              <w:rPr>
                <w:sz w:val="11"/>
                <w:szCs w:val="11"/>
                <w:color w:val="auto"/>
              </w:rPr>
            </w:pPr>
          </w:p>
        </w:tc>
      </w:tr>
      <w:tr>
        <w:trPr>
          <w:trHeight w:val="196"/>
        </w:trPr>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Net profit (loss)</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(34,963)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1,413</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8,768</w:t>
            </w:r>
          </w:p>
        </w:tc>
        <w:tc>
          <w:tcPr>
            <w:tcW w:w="22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Adjustments to reconcile net profit (loss) to net cash provided by (used in) operating activities: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9,597</w:t>
            </w:r>
          </w:p>
        </w:tc>
        <w:tc>
          <w:tcPr>
            <w:tcW w:w="220" w:type="dxa"/>
            <w:vAlign w:val="bottom"/>
          </w:tcPr>
          <w:p>
            <w:pPr>
              <w:spacing w:after="0"/>
              <w:rPr>
                <w:sz w:val="18"/>
                <w:szCs w:val="18"/>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stock-based compensation</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220" w:type="dxa"/>
            <w:vAlign w:val="bottom"/>
            <w:shd w:val="clear" w:color="auto" w:fill="CCEEFF"/>
          </w:tcPr>
          <w:p>
            <w:pPr>
              <w:spacing w:after="0"/>
              <w:rPr>
                <w:sz w:val="18"/>
                <w:szCs w:val="18"/>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Compensation expense for accelerated vesting of stock options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(benefit of) doubtful accounts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20" w:type="dxa"/>
            <w:vAlign w:val="bottom"/>
            <w:shd w:val="clear" w:color="auto" w:fill="CCEEFF"/>
          </w:tcPr>
          <w:p>
            <w:pPr>
              <w:spacing w:after="0"/>
              <w:rPr>
                <w:sz w:val="18"/>
                <w:szCs w:val="18"/>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Loss on retirement, disposal and impairment of fixed assets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net of acquisition effect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(8,085)</w:t>
            </w: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8"/>
                <w:szCs w:val="18"/>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Accrued and other long term liabilities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4,326</w:t>
            </w:r>
          </w:p>
        </w:tc>
        <w:tc>
          <w:tcPr>
            <w:tcW w:w="220" w:type="dxa"/>
            <w:vAlign w:val="bottom"/>
          </w:tcPr>
          <w:p>
            <w:pPr>
              <w:spacing w:after="0"/>
              <w:rPr>
                <w:sz w:val="18"/>
                <w:szCs w:val="18"/>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20" w:type="dxa"/>
            <w:vAlign w:val="bottom"/>
            <w:shd w:val="clear" w:color="auto" w:fill="CCEEFF"/>
          </w:tcPr>
          <w:p>
            <w:pPr>
              <w:spacing w:after="0"/>
              <w:rPr>
                <w:sz w:val="18"/>
                <w:szCs w:val="18"/>
                <w:color w:val="auto"/>
              </w:rPr>
            </w:pPr>
          </w:p>
        </w:tc>
      </w:tr>
      <w:tr>
        <w:trPr>
          <w:trHeight w:val="210"/>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24,602</w:t>
            </w:r>
          </w:p>
        </w:tc>
        <w:tc>
          <w:tcPr>
            <w:tcW w:w="220" w:type="dxa"/>
            <w:vAlign w:val="bottom"/>
            <w:tcBorders>
              <w:bottom w:val="single" w:sz="8" w:color="CCEEFF"/>
            </w:tcBorders>
          </w:tcPr>
          <w:p>
            <w:pPr>
              <w:spacing w:after="0"/>
              <w:rPr>
                <w:sz w:val="18"/>
                <w:szCs w:val="18"/>
                <w:color w:val="auto"/>
              </w:rPr>
            </w:pPr>
          </w:p>
        </w:tc>
      </w:tr>
      <w:tr>
        <w:trPr>
          <w:trHeight w:val="264"/>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(13,801)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(9,061)</w:t>
            </w: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marketable securities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Maturities of marketable securities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2,811</w:t>
            </w:r>
          </w:p>
        </w:tc>
        <w:tc>
          <w:tcPr>
            <w:tcW w:w="22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acquisition, net of cash acquired</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Purchase for intangible assets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r>
      <w:tr>
        <w:trPr>
          <w:trHeight w:val="210"/>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220" w:type="dxa"/>
            <w:vAlign w:val="bottom"/>
            <w:tcBorders>
              <w:bottom w:val="single" w:sz="8" w:color="CCEEFF"/>
            </w:tcBorders>
          </w:tcPr>
          <w:p>
            <w:pPr>
              <w:spacing w:after="0"/>
              <w:rPr>
                <w:sz w:val="18"/>
                <w:szCs w:val="18"/>
                <w:color w:val="auto"/>
              </w:rPr>
            </w:pPr>
          </w:p>
        </w:tc>
      </w:tr>
      <w:tr>
        <w:trPr>
          <w:trHeight w:val="264"/>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8,115</w:t>
            </w:r>
          </w:p>
        </w:tc>
        <w:tc>
          <w:tcPr>
            <w:tcW w:w="22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payment on stockholders’ notes receivable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line of credit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Payments on line of credit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(1,667)</w:t>
            </w: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capital lease obligations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r>
      <w:tr>
        <w:trPr>
          <w:trHeight w:val="210"/>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6,142</w:t>
            </w:r>
          </w:p>
        </w:tc>
        <w:tc>
          <w:tcPr>
            <w:tcW w:w="220" w:type="dxa"/>
            <w:vAlign w:val="bottom"/>
            <w:tcBorders>
              <w:bottom w:val="single" w:sz="8" w:color="CCEEFF"/>
            </w:tcBorders>
          </w:tcPr>
          <w:p>
            <w:pPr>
              <w:spacing w:after="0"/>
              <w:rPr>
                <w:sz w:val="18"/>
                <w:szCs w:val="18"/>
                <w:color w:val="auto"/>
              </w:rPr>
            </w:pPr>
          </w:p>
        </w:tc>
      </w:tr>
      <w:tr>
        <w:trPr>
          <w:trHeight w:val="264"/>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w:t>
            </w:r>
          </w:p>
        </w:tc>
        <w:tc>
          <w:tcPr>
            <w:tcW w:w="220" w:type="dxa"/>
            <w:vAlign w:val="bottom"/>
            <w:shd w:val="clear" w:color="auto" w:fill="CCEEFF"/>
          </w:tcPr>
          <w:p>
            <w:pPr>
              <w:spacing w:after="0"/>
              <w:rPr>
                <w:sz w:val="22"/>
                <w:szCs w:val="22"/>
                <w:color w:val="auto"/>
              </w:rPr>
            </w:pPr>
          </w:p>
        </w:tc>
      </w:tr>
      <w:tr>
        <w:trPr>
          <w:trHeight w:val="216"/>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4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44,939</w:t>
            </w:r>
          </w:p>
        </w:tc>
        <w:tc>
          <w:tcPr>
            <w:tcW w:w="220" w:type="dxa"/>
            <w:vAlign w:val="bottom"/>
            <w:tcBorders>
              <w:bottom w:val="single" w:sz="8" w:color="CCEEFF"/>
            </w:tcBorders>
          </w:tcPr>
          <w:p>
            <w:pPr>
              <w:spacing w:after="0"/>
              <w:rPr>
                <w:sz w:val="18"/>
                <w:szCs w:val="18"/>
                <w:color w:val="auto"/>
              </w:rPr>
            </w:pPr>
          </w:p>
        </w:tc>
      </w:tr>
      <w:tr>
        <w:trPr>
          <w:trHeight w:val="25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55,113</w:t>
            </w:r>
          </w:p>
        </w:tc>
        <w:tc>
          <w:tcPr>
            <w:tcW w:w="1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74,219</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69,659</w:t>
            </w:r>
          </w:p>
        </w:tc>
        <w:tc>
          <w:tcPr>
            <w:tcW w:w="220" w:type="dxa"/>
            <w:vAlign w:val="bottom"/>
            <w:shd w:val="clear" w:color="auto" w:fill="CCEEFF"/>
          </w:tcPr>
          <w:p>
            <w:pPr>
              <w:spacing w:after="0"/>
              <w:rPr>
                <w:sz w:val="21"/>
                <w:szCs w:val="2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Align Technology, Inc. (“Align” or the “Company”) was incorporated in April 1997 and is engaged in the development, manufacturing and marketing of Invisalign, used for treating malocclusion, or the misalignment of teeth. Invisalign uses a series of clear plastic “Aligners” to move the patients’ teeth in small increments from their original state to a final treated state.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Basis of presentation and preparation</w:t>
      </w:r>
    </w:p>
    <w:p>
      <w:pPr>
        <w:spacing w:after="0" w:line="117"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after elimination of intercompany transactions and balances.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Use of estimates and reclassifications</w:t>
      </w:r>
    </w:p>
    <w:p>
      <w:pPr>
        <w:spacing w:after="0" w:line="117"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Company’s management to make estimates and assumptions that affect the amounts reported in the consolidated financial statements and accompanying notes. Actual results could differ materially and adversely from those estimates.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reclassifications have been made to prior period reported amounts to conform to the current year presentation.</w:t>
      </w:r>
    </w:p>
    <w:p>
      <w:pPr>
        <w:sectPr>
          <w:pgSz w:w="11900" w:h="16851" w:orient="portrait"/>
          <w:cols w:equalWidth="0" w:num="1">
            <w:col w:w="11420"/>
          </w:cols>
          <w:pgMar w:left="240" w:top="121" w:right="239" w:bottom="0" w:gutter="0" w:footer="0" w:header="0"/>
        </w:sect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Fair value of financial instruments</w:t>
      </w:r>
    </w:p>
    <w:p>
      <w:pPr>
        <w:sectPr>
          <w:pgSz w:w="11900" w:h="16851" w:orient="portrait"/>
          <w:cols w:equalWidth="0" w:num="1">
            <w:col w:w="11420"/>
          </w:cols>
          <w:pgMar w:left="240" w:top="121" w:right="239" w:bottom="0" w:gutter="0" w:footer="0" w:header="0"/>
          <w:type w:val="continuous"/>
        </w:sectPr>
      </w:pPr>
    </w:p>
    <w:bookmarkStart w:id="37" w:name="page38"/>
    <w:bookmarkEnd w:id="37"/>
    <w:p>
      <w:pPr>
        <w:spacing w:after="0" w:line="60"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The carrying amounts of the Company’s cash and cash equivalents, accounts receivable, accounts payable and other current liabilities approximate the fair value. The carrying value of marketable securities approximates their fair value as determined by market quotes. Based on borrowing rates currently available to the Company for debt with similar terms, the carrying value of its debt obligations approximates fair value.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equivalents and marketable securities</w:t>
      </w:r>
    </w:p>
    <w:p>
      <w:pPr>
        <w:spacing w:after="0" w:line="117"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8"/>
          <w:szCs w:val="18"/>
          <w:color w:val="auto"/>
        </w:rPr>
        <w:t>Cash equivalents consist of highly liquid instruments purchased with an original maturity of three months or less. The Company invests primarily in money market funds, commercial paper, and United States government securities, accordingly, these investments are subject to minimal credit and market risks.</w:t>
      </w:r>
    </w:p>
    <w:p>
      <w:pPr>
        <w:spacing w:after="0" w:line="73"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Marketable securities are classified as available-for-sale and are carried at fair value. Marketable securities classified as current assets have maturities of less than one year. Unrealized holding gains or losses on such securities are included in accumulated other comprehensive income (loss) in stockholders’ equity. Realized gains and losses on sales of all such securities are reported in earnings and computed using the specific identification cost method. Realized gains or losses and charges for other-than-temporary declines in value, if any, on available-for-sale securities are reported in other income or expense as incurred. The Company periodically evaluates these investments for other-than-temporary impairment.</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Company’s restricted cash as of December 31, 2006 and 2005 were $0.1 million and $0.2 million, respectively, primarily comprised of security against a leasing arrangement in Europe.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The Company analyzes the functional currency determination for its international subsidiaries on an annual basis, or more often if necessary. For the years ended December 31, 2006, 2005 and 2004, the Company and its subsidiaries use the U.S. dollar as its functional currency. Assets and liabilities denominated in foreign currencies are remeasured into U.S. dollars at current exchange rates for monetary assets and liabilities, and historical exchange rates for non-monetary assets and liabilities. Revenues and expenses are remeasured at average exchange rates in effect during each period. Gains or losses from foreign currency remeasurement are included in other income (expense). For the years ended December 31, 2006, 2005 and 2004, the Company included in other income (expense) a gain of $1.1 million, a loss of $1.0 million and a gain of $0.3 million, respectively.</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Certain risks and uncertainties</w:t>
      </w:r>
    </w:p>
    <w:p>
      <w:pPr>
        <w:spacing w:after="0" w:line="117" w:lineRule="exact"/>
        <w:rPr>
          <w:sz w:val="20"/>
          <w:szCs w:val="20"/>
          <w:color w:val="auto"/>
        </w:rPr>
      </w:pPr>
    </w:p>
    <w:p>
      <w:pPr>
        <w:ind w:right="380" w:firstLine="360"/>
        <w:spacing w:after="0" w:line="259" w:lineRule="auto"/>
        <w:rPr>
          <w:sz w:val="20"/>
          <w:szCs w:val="20"/>
          <w:color w:val="auto"/>
        </w:rPr>
      </w:pPr>
      <w:r>
        <w:rPr>
          <w:rFonts w:ascii="Arial" w:cs="Arial" w:eastAsia="Arial" w:hAnsi="Arial"/>
          <w:sz w:val="18"/>
          <w:szCs w:val="18"/>
          <w:color w:val="auto"/>
        </w:rPr>
        <w:t>The Company’s operating results depend to a significant extent on the Company’s ability to market and develop its products. The life cycles of the Company’s products are difficult to estimate due in part to the effect of future product enhancements and competition. The inability of the Company to successfully develop and market its products as a result of competition or other factors would have a material adverse effect on the Company’s business, financial condition and results of operations.</w:t>
      </w:r>
    </w:p>
    <w:p>
      <w:pPr>
        <w:spacing w:after="0" w:line="79"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Financial instruments which potentially expose the Company to concentrations of credit risk consist primarily of cash equivalents and accounts receivable. The Company invests excess cash primarily in money market funds of major financial institutions, commercial paper and notes. The Company provides credit to customers in the normal course of business. Collateral is not required for accounts receivable, but ongoing evaluations of customers’ credit worthiness are performed. The Company maintains reserves for potential credit losses and such losses have been within management’s expectations. No individual customer accounted for 10% or more of the Company’s accounts receivable at December 31, 2006 and 2005, or net revenues in fiscal 2006, 2005 and 2004.</w:t>
      </w:r>
    </w:p>
    <w:p>
      <w:pPr>
        <w:spacing w:after="0" w:line="85" w:lineRule="exact"/>
        <w:rPr>
          <w:sz w:val="20"/>
          <w:szCs w:val="20"/>
          <w:color w:val="auto"/>
        </w:rPr>
      </w:pPr>
    </w:p>
    <w:p>
      <w:pPr>
        <w:ind w:right="340" w:firstLine="360"/>
        <w:spacing w:after="0" w:line="257" w:lineRule="auto"/>
        <w:rPr>
          <w:sz w:val="20"/>
          <w:szCs w:val="20"/>
          <w:color w:val="auto"/>
        </w:rPr>
      </w:pPr>
      <w:r>
        <w:rPr>
          <w:rFonts w:ascii="Arial" w:cs="Arial" w:eastAsia="Arial" w:hAnsi="Arial"/>
          <w:sz w:val="18"/>
          <w:szCs w:val="18"/>
          <w:color w:val="auto"/>
        </w:rPr>
        <w:t>In the United States of America, the Food and Drug Administration (“FDA”) regulates the design, manufacture, distribution, preclinical and clinical study, clearance and approval of medical devices. Products developed by the Company may require approvals or clearances from the FDA or other international regulatory agencies prior to commercialized sales. There can be no assurance that the Company’s products will receive any of the required approvals or clearances. If the Company was denied approval or clearance or such approval was delayed, it may have a material adverse impact on the Company.</w:t>
      </w:r>
    </w:p>
    <w:p>
      <w:pPr>
        <w:spacing w:after="0" w:line="80"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The Company has manufacturing operations located outside the United States of America. The Company currently relies on its manufacturing facilities in Costa Rica to create virtual treatment plans with the assistance of sophisticated software. In addition, the Company relies on a third party shelter services provider in Juarez, Mexico to fabricate Aligners and to ship the completed product to the Company’s customers. The Company’s reliance on international operations exposes it to related risks and uncertainties, including difficulties in staffing and managing international operations; controlling quality of manufacture; political, social and economic instability; interruptions and limitations in telecommunication services; product and/or material transportation delays or disruption; trade restrictions and changes in tariffs; import and export license requirements and restrictions; fluctuations in currency exchange rates; and potential adverse tax consequences. If any of these risks materialize, the Company’s international manufacturing operations, as well as its operating results, may be harmed.</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receives certain of its components from sole suppliers. Additionally, the Company relies on a limited number of hardware manufacturers.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inability of any supplier or manufacturer to fulfill supply requirements of the Company could materially impact future operating results.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Inventories are valued at standard cost, which approximates actual cost computed on a first-in, first-out basis, not in excess of market value.</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Property and equipment are stated at historical cost less accumulated depreciation and amortization. Depreciation and amortization are computed using the straight-line method over the estimated useful lives of the assets. Upon sale or retirement, the asset’s cost and related accumulated depreciation are removed from the general ledger and any related gain or loss is reflected in operations. Maintenance and repairs are charged to operations as incurred.</w:t>
      </w:r>
    </w:p>
    <w:p>
      <w:pPr>
        <w:sectPr>
          <w:pgSz w:w="11900" w:h="16898" w:orient="portrait"/>
          <w:cols w:equalWidth="0" w:num="1">
            <w:col w:w="11360"/>
          </w:cols>
          <w:pgMar w:left="240" w:top="125" w:right="299" w:bottom="0" w:gutter="0" w:footer="0" w:header="0"/>
        </w:sectPr>
      </w:pPr>
    </w:p>
    <w:bookmarkStart w:id="38" w:name="page39"/>
    <w:bookmarkEnd w:id="38"/>
    <w:p>
      <w:pPr>
        <w:ind w:left="360"/>
        <w:spacing w:after="0"/>
        <w:rPr>
          <w:sz w:val="20"/>
          <w:szCs w:val="20"/>
          <w:color w:val="auto"/>
        </w:rPr>
      </w:pPr>
      <w:r>
        <w:rPr>
          <w:rFonts w:ascii="Arial" w:cs="Arial" w:eastAsia="Arial" w:hAnsi="Arial"/>
          <w:sz w:val="18"/>
          <w:szCs w:val="18"/>
          <w:i w:val="1"/>
          <w:iCs w:val="1"/>
          <w:color w:val="auto"/>
        </w:rPr>
        <w:t>Development costs for internal use software</w:t>
      </w:r>
    </w:p>
    <w:p>
      <w:pPr>
        <w:spacing w:after="0" w:line="117" w:lineRule="exact"/>
        <w:rPr>
          <w:sz w:val="20"/>
          <w:szCs w:val="20"/>
          <w:color w:val="auto"/>
        </w:rPr>
      </w:pPr>
    </w:p>
    <w:p>
      <w:pPr>
        <w:ind w:right="140" w:firstLine="360"/>
        <w:spacing w:after="0" w:line="273" w:lineRule="auto"/>
        <w:rPr>
          <w:sz w:val="20"/>
          <w:szCs w:val="20"/>
          <w:color w:val="auto"/>
        </w:rPr>
      </w:pPr>
      <w:r>
        <w:rPr>
          <w:rFonts w:ascii="Arial" w:cs="Arial" w:eastAsia="Arial" w:hAnsi="Arial"/>
          <w:sz w:val="17"/>
          <w:szCs w:val="17"/>
          <w:color w:val="auto"/>
        </w:rPr>
        <w:t>Costs relating to internal use software are accounted for in accordance with the provisions of Statement of Position 98-1, Accounting for the Costs of Computer Software Developed or Obtained for Internal Use (SOP 98-1). In 2004, the Company implemented a new version of its enterprise resource planning system and new software for the Company’s manufacturing execution system and capitalized approximately $3.2 million in related internal use software costs. As of December 31, 2006, and 2005, capitalized internal use software at cost was $4.7 million and $4.4 million, respectively. The associated accumulated amortization was $3.5 million and $2.2 million as of December 31, 2006 and 2005, respectively. Capitalized software costs are amortized over the estimated useful lives of the software, which generally range from three to five years.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 xml:space="preserve">In January 2005, the Company acquired all the membership interests of privately held General Orthodontics, LLC (“GO”). The acquisition was accounted for as a purchase and accordingly, the operating results of GO have been included in the consolidated financial statements since date of acquisition. </w:t>
      </w:r>
      <w:r>
        <w:rPr>
          <w:rFonts w:ascii="Arial" w:cs="Arial" w:eastAsia="Arial" w:hAnsi="Arial"/>
          <w:sz w:val="18"/>
          <w:szCs w:val="18"/>
          <w:i w:val="1"/>
          <w:iCs w:val="1"/>
          <w:color w:val="auto"/>
        </w:rPr>
        <w:t>See Note 5 “Acquisitions” of the Notes to Consolidated Financial Statements for more information.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520" w:firstLine="360"/>
        <w:spacing w:after="0" w:line="264" w:lineRule="auto"/>
        <w:rPr>
          <w:sz w:val="20"/>
          <w:szCs w:val="20"/>
          <w:color w:val="auto"/>
        </w:rPr>
      </w:pPr>
      <w:r>
        <w:rPr>
          <w:rFonts w:ascii="Arial" w:cs="Arial" w:eastAsia="Arial" w:hAnsi="Arial"/>
          <w:sz w:val="18"/>
          <w:szCs w:val="18"/>
          <w:color w:val="auto"/>
        </w:rPr>
        <w:t>Goodwill represents the excess of the purchase price paid over the fair value of tangible and identifiable intangible net assets acquired in business combinations. Goodwill is reviewed annually in the fourth quarter and whenever events or circumstances occur which indicate that goodwill might be impaired.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Long-lived assets, including finite lived purchased intangible assets</w:t>
      </w:r>
    </w:p>
    <w:p>
      <w:pPr>
        <w:spacing w:after="0" w:line="117"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Other intangible assets primarily consist of intangible assets purchased as part of the OrthoClear Agreement and GO acquisition. These assets are amortized using the straight-line method over their estimated useful lives of three to five years, reflecting the period in which the economic benefits of the assets are expected to be realized.</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Company regularly monitors events and changes in circumstances that could indicate if the carrying values of long-lived assets, including intangible assets, may not be recoverable. When such events or changes in circumstances occur, the Company assesses the recoverability of long-lived assets by determining whether the carrying value of such assets will be recovered through future net undiscounted cash flows. If such assets are considered to be impaired, the impairment to be recognized is measured by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amount by which the carrying amount of the assets exceeds the fair value, as measured by the discounted future 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Product Warranty</w:t>
      </w:r>
    </w:p>
    <w:p>
      <w:pPr>
        <w:spacing w:after="0" w:line="117"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The Company warrants its products against material defects until the Invisalign case is completed. The Company accrues for estimated warranty in costs of goods sold upon shipment of products. The amount of accrued estimated warranty costs are primarily based on historical experience as to product failures as well as current information on repair costs. Actual warranty costs could differ from the estimated amounts. The Company regularly reviews the accrued balances and updates these balances based on historical warranty cost trends. Actual warranty costs incurred have not materially differed from those accrued.</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The Company maintains allowances for doubtful accounts for estimated losses resulting from the inability of the Company’s customers to make payments. The Company periodically reviews these estimated allowances, including an analysis of the customers’ payment history and information regarding the customers’ creditworthiness. Actual doubtful account write-offs have not materially differed from the estimated allowance.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Align recognizes revenue in accordance with SEC Staff Accounting Bulletin No. 104 “Revenue Recognition” (“SAB 104”), and Emerging Issues Task Force No. 00-21 “Revenue Arrangements with Multiple Deliverables” (“EITF 00-21”). SAB 104 requires that four basic criteria must be met before revenue can be recognized: persuasive evidence of an arrangement exists, delivery has occurred, the price is fixed or determinable, and collectibility is reasonably assured. Determination of whether persuasive evidence of an arrangement exists and whether delivery has occurred or services rendered involve management’s judgments based on whether the fee is fixed or determinable based on the payment terms associated with the transaction and whether the sales price is subject to refund or adjustment.</w:t>
      </w:r>
    </w:p>
    <w:p>
      <w:pPr>
        <w:spacing w:after="0" w:line="85"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Revenue from product sales, net of discounts and rebates, is recognized upon shipment. Service revenues related to the training of dental professionals and staff on the Invisalign treatment process, and case consultations are recorded when the services are completed.</w:t>
      </w:r>
    </w:p>
    <w:p>
      <w:pPr>
        <w:spacing w:after="0" w:line="6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Align enters into multiple element arrangements that involve delivery of products in the future. Included in the price of a full Invisalign treatment, the Company offers case refinement, which is a finishing tool used to adjust a patient’s teeth to the final desired position. Case refinement may be elected by the dental professional in the last stages of orthodontic treatment. The Company uses vendor specific objective evidence of fair value to allocate revenue to the case refinement deliverable and recognizes the residual revenue for full Invisalign upon shipment. Through June 2005, Align deferred the fair value of case refinement for each full Invisalign case shipped. For these full Invisalign cases, case refinement revenue is recognized upon shipment or case expiration, whichever occurs earlier. A full Invisalign case is deemed expired six months after the expected end of treatment. Since the third quarter of fiscal 2005, Align defers the fair value of case refinement upon shipment of full Invisalign based on a breakage factor, which is determined by sufficient historical experience of case refinement utilization. The Company believes that the use of a breakage factor is reasonable and appropriate because of the relative stability of case refinement utilization since case refinement was first offered. The Company has seen no material changes in the breakage factor in the reporting periods presented.</w:t>
      </w:r>
    </w:p>
    <w:p>
      <w:pPr>
        <w:sectPr>
          <w:pgSz w:w="11900" w:h="16838" w:orient="portrait"/>
          <w:cols w:equalWidth="0" w:num="1">
            <w:col w:w="11380"/>
          </w:cols>
          <w:pgMar w:left="240" w:top="125" w:right="279" w:bottom="528"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528" w:gutter="0" w:footer="0" w:header="0"/>
          <w:type w:val="continuous"/>
        </w:sectPr>
      </w:pPr>
    </w:p>
    <w:bookmarkStart w:id="39" w:name="page40"/>
    <w:bookmarkEnd w:id="39"/>
    <w:p>
      <w:pPr>
        <w:ind w:right="120" w:firstLine="360"/>
        <w:spacing w:after="0" w:line="342" w:lineRule="auto"/>
        <w:rPr>
          <w:sz w:val="20"/>
          <w:szCs w:val="20"/>
          <w:color w:val="auto"/>
        </w:rPr>
      </w:pPr>
      <w:r>
        <w:rPr>
          <w:rFonts w:ascii="Arial" w:cs="Arial" w:eastAsia="Arial" w:hAnsi="Arial"/>
          <w:sz w:val="16"/>
          <w:szCs w:val="16"/>
          <w:color w:val="auto"/>
        </w:rPr>
        <w:t>The Company estimates and records a provision for amounts of estimated losses on sales, if any, in the period such sales occur. Provisions for discounts and rebates to customers are provided for in the same period that the related product sales are recorded based upon historical discounts and rebates.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Shipping and handling charges to customers are included in the net revenue, and the associated cost incurred recorded in cost of sales for all periods presented.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cost of advertising and media is expensed as incurred. For the years ended December 31, 2006, 2005 and 2004 advertising costs totaled $9.2 million, $11.3 million and $6.3 million respectively.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We estimate our income taxes based on the various jurisdictions where we conduct business. Significant judgment is required in determining our income tax provision. Deferred tax assets and liabilities are recognized for differing treatments of certain items for tax and accounting purposes. These differences result in deferred tax assets and liabilities. We must then assess the likelihood that our deferred tax assets will be realized. To the extent we believe that realization is not likely, we establish a valuation allowance.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Effective January 1, 2006, the Company adopted Statement of Financial Accounting Standards (“FAS 123”) No. 123 (Revised 2004), Share-Based Payment (“FAS 123R”), which requires the measurement and recognition of compensation expense for all stock-based payment awards made to employees and directors, including stock options, restricted stock units and employee stock purchases related to the Employee Stock Purchase Plan based on estimated fair values of these awards over the requisite employee service period. FAS 123R supersedes Accounting Principles Board Opinion No. 25, Accounting for Stock Issued to Employees (“APB 25”), which the Company previously followed in accounting for stock-based awards. In March 2005, the SEC issued Staff Accounting Bulletin No. 107 (“SAB 107”) to provide guidance on FAS 123R. The Company has applied SAB 107 in its adoption of FAS 123R.</w:t>
      </w:r>
    </w:p>
    <w:p>
      <w:pPr>
        <w:spacing w:after="0" w:line="57"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color w:val="auto"/>
        </w:rPr>
        <w:t>Under the provisions of FAS 123R, the Company adopted the modified prospective transition method which requires stock-based compensation cost to be recognized for share-based payments awards granted to, but not yet vested as of, December 31, 2005 based on the grant date fair value estimated in accordance with the pro forma provisions of FASB Statement 123, “Accounting for Stock-Based Compensation” (“FAS 123”) and stock-based payment awards granted subsequent to December 31, 2005 based on the grant date fair value estimated in accordance with the provisions of FAS 123R. In accordance with the modified prospective transition method, the Company’s Consolidated Financial Statements as of and for the year ended December 31, 2006 reflects the impact of FAS 123R, and prior periods have not been restated to reflect, and do not include the impact of FAS 123R. In conjunction with the adoption of FAS 123R, the Company changed its method of attributing the value of stock-based compensation from accelerated multiple-option approach to the straight-line single method.</w:t>
      </w:r>
    </w:p>
    <w:p>
      <w:pPr>
        <w:spacing w:after="0" w:line="84"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In November 2005, the Financial Accounting Standards Board (“FASB”) issued FASB Staff Position No. FAS 123(R)-3, “Transition Election Related to Accounting for Tax Effects of Share-Based Payment Awards” (“FSP 123R-3”). The Company has elected to adopt the alternative transition method provided in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FSP 123R-3 that includes simplified methods to establish the beginning balance of the additional paid-in capital pool related to the tax effect of stock-based compensation and to determine the subsequent impact on the additional paid-in capital pool and the Consolidated Statement of Cash Flows for stock-based compensation awards that are outstanding upon the adoption of FAS 123R. </w:t>
      </w:r>
      <w:r>
        <w:rPr>
          <w:rFonts w:ascii="Arial" w:cs="Arial" w:eastAsia="Arial" w:hAnsi="Arial"/>
          <w:sz w:val="18"/>
          <w:szCs w:val="18"/>
          <w:i w:val="1"/>
          <w:iCs w:val="1"/>
          <w:color w:val="auto"/>
        </w:rPr>
        <w:t>See Note 10 “Shareholders’ Equity” of the 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for more information</w:t>
      </w:r>
      <w:r>
        <w:rPr>
          <w:rFonts w:ascii="Arial" w:cs="Arial" w:eastAsia="Arial" w:hAnsi="Arial"/>
          <w:sz w:val="18"/>
          <w:szCs w:val="18"/>
          <w:color w:val="auto"/>
        </w:rPr>
        <w: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Comprehensive Income (loss)</w:t>
      </w:r>
    </w:p>
    <w:p>
      <w:pPr>
        <w:spacing w:after="0" w:line="117" w:lineRule="exact"/>
        <w:rPr>
          <w:sz w:val="20"/>
          <w:szCs w:val="20"/>
          <w:color w:val="auto"/>
        </w:rPr>
      </w:pPr>
    </w:p>
    <w:p>
      <w:pPr>
        <w:ind w:right="100" w:firstLine="360"/>
        <w:spacing w:after="0" w:line="308" w:lineRule="auto"/>
        <w:rPr>
          <w:sz w:val="20"/>
          <w:szCs w:val="20"/>
          <w:color w:val="auto"/>
        </w:rPr>
      </w:pPr>
      <w:r>
        <w:rPr>
          <w:rFonts w:ascii="Arial" w:cs="Arial" w:eastAsia="Arial" w:hAnsi="Arial"/>
          <w:sz w:val="17"/>
          <w:szCs w:val="17"/>
          <w:color w:val="auto"/>
        </w:rPr>
        <w:t>Comprehensive income (loss), as defined, includes all changes in equity (net assets) during a period from non-owner sources. Net profit (loss) and other comprehensive (loss), including unrealized gains and losses on short-term investments, are reported, net of their related tax effect.</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July 2006, the FASB issued FASB Interpretation (“FIN”) No. 48 “Accounting for Uncertainty in Income Taxes—an interpretation of FASB Statement 109”. FIN 48 prescribes a comprehensive model for recognizing, measuring, presenting and disclosing in the financial statements tax positions taken or expected to be taken on a tax return, including a decision whether to file or not to file in a particular jurisdiction. FIN 48 is effective for fiscal years beginning after December 15, 2006. If there are changes in net assets as a result of application of FIN 48, these will be accounted for as an adjustment to retained earnings. The Company does not expect that the adoption of FIN 48 will have a material impact on its results from operations or consolidated financial position.</w:t>
      </w:r>
    </w:p>
    <w:p>
      <w:pPr>
        <w:spacing w:after="0" w:line="85"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In September 2006, the SEC staff issued Staff Accounting Bulletin (“SAB”) 108 “Considering the Effects of Prior Year Misstatements when Quantifying Misstatements in Current Year Financial Statements” (SAB 108). SAB 108 requires that public companies utilize a “dual-approach” to assessing the quantitative effects of financial misstatements. This dual approach includes both an income statement focused assessment and a balance sheet focused assessment. The guidance in SAB 108 must be applied to annual financial statements for fiscal years ending after November 15, 2006. The adoption of SAB 108 did not have a material impact on its results from operations or consolidated financial position.</w:t>
      </w:r>
    </w:p>
    <w:p>
      <w:pPr>
        <w:spacing w:after="0" w:line="64"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 xml:space="preserve">In September 2006, the FASB issued FASB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which defines fair value, establishes a framework for measuring fair value under GAAP, and expands disclosures about fair value measurements. FASB Statement No. 157 applies to other accounting pronouncements that require or permit fair value measurements. The new guidance is effective for financial statements issued for fiscal years beginning after November 15, 2007, and for interim periods within those fiscal years. The Company is currently evaluating the potential impact, if any, of the adoption of FASB Statement No. 157 on its consolidated financial position, results of operations and cash flows.</w:t>
      </w:r>
    </w:p>
    <w:p>
      <w:pPr>
        <w:sectPr>
          <w:pgSz w:w="11900" w:h="16838" w:orient="portrait"/>
          <w:cols w:equalWidth="0" w:num="1">
            <w:col w:w="11420"/>
          </w:cols>
          <w:pgMar w:left="240" w:top="125" w:right="239" w:bottom="0" w:gutter="0" w:footer="0" w:header="0"/>
        </w:sectPr>
      </w:pPr>
    </w:p>
    <w:bookmarkStart w:id="40" w:name="page41"/>
    <w:bookmarkEnd w:id="40"/>
    <w:p>
      <w:pPr>
        <w:spacing w:after="0" w:line="46" w:lineRule="exact"/>
        <w:rPr>
          <w:sz w:val="20"/>
          <w:szCs w:val="20"/>
          <w:color w:val="auto"/>
        </w:rPr>
      </w:pPr>
    </w:p>
    <w:p>
      <w:pPr>
        <w:jc w:val="both"/>
        <w:ind w:right="320" w:firstLine="360"/>
        <w:spacing w:after="0" w:line="342" w:lineRule="auto"/>
        <w:rPr>
          <w:sz w:val="20"/>
          <w:szCs w:val="20"/>
          <w:color w:val="auto"/>
        </w:rPr>
      </w:pPr>
      <w:r>
        <w:rPr>
          <w:rFonts w:ascii="Arial" w:cs="Arial" w:eastAsia="Arial" w:hAnsi="Arial"/>
          <w:sz w:val="16"/>
          <w:szCs w:val="16"/>
          <w:color w:val="auto"/>
        </w:rPr>
        <w:t>Other recent accounting pronouncements issued by the FASB (including its Emerging Issues Task Force), the American Institute of Certified Public Accountants and the SEC did not or are not believed by management to have a material impact on our present or future consolidated financial statements.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Patients First Program and settlement costs</w:t>
      </w:r>
    </w:p>
    <w:p>
      <w:pPr>
        <w:spacing w:after="0" w:line="12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 xml:space="preserve">On October 13, 2006, the Company entered into a formal agreement with OrthoClear, Inc., OrthoClear Holdings, Inc., and OrthoClear Pakistan Pvt. Ltd. (“OrthoClear”), together with certain individuals associated with OrthoClear (the “OrthoClear Agreement”) to end all pending litigation between the parties. In addition, OrthoClear agreed, among other things, to stop accepting new patient cases for treatment, consent to the entry of an exclusion order by the ITC prohibiting the importation of OrthoClear aligners into the United States, assign and transfer to Align all intellectual property rights with application to the correction of malocclusion and discontinue all design, manufacture, marketing and sales of removable dental aligners worldwide. In addition, certain OrthoClear principles also signed five year non-compete agreements. </w:t>
      </w:r>
      <w:r>
        <w:rPr>
          <w:rFonts w:ascii="Arial" w:cs="Arial" w:eastAsia="Arial" w:hAnsi="Arial"/>
          <w:sz w:val="17"/>
          <w:szCs w:val="17"/>
          <w:i w:val="1"/>
          <w:iCs w:val="1"/>
          <w:color w:val="auto"/>
        </w:rPr>
        <w:t>See Note 7 “Legal Proceedings” of the Notes to Consolidated Financial Statements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 more complete summary of the OrthoClear Agreement. </w:t>
      </w:r>
      <w:r>
        <w:rPr>
          <w:rFonts w:ascii="Arial" w:cs="Arial" w:eastAsia="Arial" w:hAnsi="Arial"/>
          <w:sz w:val="17"/>
          <w:szCs w:val="17"/>
          <w:color w:val="auto"/>
        </w:rPr>
        <w:t>The Company evaluated this transaction under the provisions of Emerging Issues Task Force 98-3</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“Determining Whether a Non-Monetary Transaction Involves a Receipt of Productive Assets or of a Business” (EITF 98-3) and concluded that this transaction is not a business acquisition and will be accounted for as an asset purchase.</w:t>
      </w:r>
    </w:p>
    <w:p>
      <w:pPr>
        <w:spacing w:after="0" w:line="7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accordance with the terms of the OrthoClear Agreement, the Company made a $20.0 million one-time cash payment to OrthoClear Holdings, Inc. on October 16, 2006. The Company engaged a third-party firm to assist management in assessing the fair value of the identifiable assets received in conjunction with the OrthoClear Agreement. Using an income valuation approach, it was determined that $14.0 million represented the fair value of the non-compete agreements, which are being amortized over the estimated useful life of 5 years. The intellectual property transferred to Align was determined not to have any alternative future use and therefore had no fair value. In accordance with Emerging Issues Task Force 04-01 “Accounting for Pre-existing Contractual Relationships between the Parties to a Purchase Business Combination” (EITF 04-01), the remaining $6.0 million of the $20.0 million payment was recorded as settlement costs.</w:t>
      </w:r>
    </w:p>
    <w:p>
      <w:pPr>
        <w:spacing w:after="0" w:line="81" w:lineRule="exact"/>
        <w:rPr>
          <w:sz w:val="20"/>
          <w:szCs w:val="20"/>
          <w:color w:val="auto"/>
        </w:rPr>
      </w:pPr>
    </w:p>
    <w:p>
      <w:pPr>
        <w:ind w:right="200" w:firstLine="360"/>
        <w:spacing w:after="0" w:line="288" w:lineRule="auto"/>
        <w:rPr>
          <w:sz w:val="20"/>
          <w:szCs w:val="20"/>
          <w:color w:val="auto"/>
        </w:rPr>
      </w:pPr>
      <w:r>
        <w:rPr>
          <w:rFonts w:ascii="Arial" w:cs="Arial" w:eastAsia="Arial" w:hAnsi="Arial"/>
          <w:sz w:val="16"/>
          <w:szCs w:val="16"/>
          <w:color w:val="auto"/>
        </w:rPr>
        <w:t>As part of the OrthoClear Agreement, OrthoClear agreed to stop the importation of aligners into the United States and discontinue all aligner business operations worldwide. As a result, most OrthoClear patients were unable to complete their orthodontic treatment with OrthoClear. In an attempt to help minimize treatment disruptions for the OrthoClear patients and their doctors, the Company committed to make treatment available to these patients at no additional cost under the “Patients First Program”. Therefore, Align will receive no revenue for the program, while incurring significant expense. In the fourth quarter of 2006, the Company recorded a $8.3 million charge for the anticipated costs of completing the Patients First Program in accordance with FASB Statement 5, “Accounting for Contingencies” (“FAS 5”). This amount is based on the number of OrthoClear cases registered under the Patients First Program as of December 31, 2006 and the estimated costs that will be incurred in order to fulfill the obligation as a result of this program. If the actual number of OrthoClear cases under the program changes or the actual- costs differ significantly from our estimates, Align would be required to adjust the accrual for the Patients First Program, and it could materially impact the financial statements. As December 31, 2006, $6.8 million remained in accrued liabilities for this program. Align currently anticipates that the Patients First Program will be completed by the end of the second quarter of fiscal 2007.</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Short-term Investments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the following short-term investments as of December 31, 2006 (in thousands):</w:t>
      </w:r>
    </w:p>
    <w:p>
      <w:pPr>
        <w:spacing w:after="0" w:line="18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92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960" w:type="dxa"/>
            <w:vAlign w:val="bottom"/>
            <w:gridSpan w:val="5"/>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04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7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Costs</w:t>
            </w:r>
          </w:p>
        </w:tc>
        <w:tc>
          <w:tcPr>
            <w:tcW w:w="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8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Loss</w:t>
            </w:r>
          </w:p>
        </w:tc>
        <w:tc>
          <w:tcPr>
            <w:tcW w:w="7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 notes and bonds</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$ 4,880</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$ 4,882</w:t>
            </w: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Corporate bonds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and asset-backed securities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$ 8,929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$ 8,931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360"/>
        <w:spacing w:after="0" w:line="308" w:lineRule="auto"/>
        <w:rPr>
          <w:sz w:val="20"/>
          <w:szCs w:val="20"/>
          <w:color w:val="auto"/>
        </w:rPr>
      </w:pPr>
      <w:r>
        <w:rPr>
          <w:rFonts w:ascii="Arial" w:cs="Arial" w:eastAsia="Arial" w:hAnsi="Arial"/>
          <w:sz w:val="17"/>
          <w:szCs w:val="17"/>
          <w:color w:val="auto"/>
        </w:rPr>
        <w:t>As of December 31, 2006, all short-term investments have maturity dates less than one year. For the years ended December 31, 2006 and 2005, no gains were realized on the sale of short-term investments. The Company had no short-term investments as of December 31, 2005.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 (in thousands):</w:t>
      </w:r>
    </w:p>
    <w:p>
      <w:pPr>
        <w:spacing w:after="0" w:line="203" w:lineRule="exact"/>
        <w:rPr>
          <w:sz w:val="20"/>
          <w:szCs w:val="20"/>
          <w:color w:val="auto"/>
        </w:rPr>
      </w:pPr>
    </w:p>
    <w:tbl>
      <w:tblPr>
        <w:tblLayout w:type="fixed"/>
        <w:tblInd w:w="19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4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37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2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1"/>
                <w:szCs w:val="1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$ 2,021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$ 1,492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Work in process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1,060</w:t>
            </w: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3,090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$ 2,930</w:t>
            </w:r>
          </w:p>
        </w:tc>
        <w:tc>
          <w:tcPr>
            <w:tcW w:w="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Work in process includes costs to produce the Invisalign product. Finished goods primarily represent ancillary products that support the Invisalign system.</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3"/>
                <w:szCs w:val="13"/>
                <w:color w:val="auto"/>
              </w:rPr>
            </w:pPr>
          </w:p>
        </w:tc>
        <w:tc>
          <w:tcPr>
            <w:tcW w:w="174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486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0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rPr>
              <w:t>2006</w:t>
            </w:r>
          </w:p>
        </w:tc>
        <w:tc>
          <w:tcPr>
            <w:tcW w:w="920" w:type="dxa"/>
            <w:vAlign w:val="bottom"/>
            <w:gridSpan w:val="2"/>
          </w:tcPr>
          <w:p>
            <w:pPr>
              <w:jc w:val="right"/>
              <w:ind w:right="130"/>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Clinical and manufacturing equipment</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$ 39,741</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28,298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Computer hardware</w:t>
            </w: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10,404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380"/>
          </w:cols>
          <w:pgMar w:left="240" w:top="125" w:right="279" w:bottom="0" w:gutter="0" w:footer="0" w:header="0"/>
        </w:sectPr>
      </w:pPr>
    </w:p>
    <w:bookmarkStart w:id="41" w:name="page42"/>
    <w:bookmarkEnd w:id="41"/>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4,698</w:t>
            </w:r>
          </w:p>
        </w:tc>
        <w:tc>
          <w:tcPr>
            <w:tcW w:w="120" w:type="dxa"/>
            <w:vAlign w:val="bottom"/>
          </w:tcPr>
          <w:p>
            <w:pPr>
              <w:spacing w:after="0"/>
              <w:rPr>
                <w:sz w:val="20"/>
                <w:szCs w:val="20"/>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760" w:type="dxa"/>
            <w:vAlign w:val="bottom"/>
            <w:gridSpan w:val="2"/>
            <w:shd w:val="clear" w:color="auto" w:fill="CCEEFF"/>
          </w:tcPr>
          <w:p>
            <w:pPr>
              <w:jc w:val="right"/>
              <w:ind w:right="405"/>
              <w:spacing w:after="0" w:line="201" w:lineRule="exact"/>
              <w:rPr>
                <w:sz w:val="20"/>
                <w:szCs w:val="20"/>
                <w:color w:val="auto"/>
              </w:rPr>
            </w:pPr>
            <w:r>
              <w:rPr>
                <w:rFonts w:ascii="Arial" w:cs="Arial" w:eastAsia="Arial" w:hAnsi="Arial"/>
                <w:sz w:val="18"/>
                <w:szCs w:val="18"/>
                <w:color w:val="auto"/>
              </w:rPr>
              <w:t>Term of</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9,197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8,443</w:t>
            </w:r>
          </w:p>
        </w:tc>
        <w:tc>
          <w:tcPr>
            <w:tcW w:w="120" w:type="dxa"/>
            <w:vAlign w:val="bottom"/>
            <w:shd w:val="clear" w:color="auto" w:fill="CCEEFF"/>
          </w:tcPr>
          <w:p>
            <w:pPr>
              <w:spacing w:after="0"/>
              <w:rPr>
                <w:sz w:val="17"/>
                <w:szCs w:val="17"/>
                <w:color w:val="auto"/>
              </w:rPr>
            </w:pPr>
          </w:p>
        </w:tc>
      </w:tr>
      <w:tr>
        <w:trPr>
          <w:trHeight w:val="230"/>
        </w:trPr>
        <w:tc>
          <w:tcPr>
            <w:tcW w:w="42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the lease</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8,387</w:t>
            </w:r>
          </w:p>
        </w:tc>
        <w:tc>
          <w:tcPr>
            <w:tcW w:w="120" w:type="dxa"/>
            <w:vAlign w:val="bottom"/>
          </w:tcPr>
          <w:p>
            <w:pPr>
              <w:spacing w:after="0"/>
              <w:rPr>
                <w:sz w:val="18"/>
                <w:szCs w:val="18"/>
                <w:color w:val="auto"/>
              </w:rPr>
            </w:pPr>
          </w:p>
        </w:tc>
      </w:tr>
      <w:tr>
        <w:trPr>
          <w:trHeight w:val="210"/>
        </w:trPr>
        <w:tc>
          <w:tcPr>
            <w:tcW w:w="4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(46,979)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(39,249)</w:t>
            </w:r>
          </w:p>
        </w:tc>
      </w:tr>
      <w:tr>
        <w:trPr>
          <w:trHeight w:val="210"/>
        </w:trPr>
        <w:tc>
          <w:tcPr>
            <w:tcW w:w="428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December 31, 2006, construction in progress consisted primarily of costs for capital equipment expected to be placed in service in the next year.</w:t>
      </w:r>
    </w:p>
    <w:p>
      <w:pPr>
        <w:spacing w:after="0" w:line="140"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Depreciation expense and amortization was $9.3 million, $10.1 million, and $9.6 million for the years ended December 31, 2006, 2005 and 2004,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03" w:lineRule="exact"/>
        <w:rPr>
          <w:sz w:val="20"/>
          <w:szCs w:val="20"/>
          <w:color w:val="auto"/>
        </w:rPr>
      </w:pPr>
    </w:p>
    <w:tbl>
      <w:tblPr>
        <w:tblLayout w:type="fixed"/>
        <w:tblInd w:w="19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436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CCEEFF"/>
            </w:tcBorders>
          </w:tcPr>
          <w:p>
            <w:pPr>
              <w:spacing w:after="0"/>
              <w:rPr>
                <w:sz w:val="11"/>
                <w:szCs w:val="1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17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$ 17,768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$ 12,330</w:t>
            </w:r>
          </w:p>
        </w:tc>
        <w:tc>
          <w:tcPr>
            <w:tcW w:w="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Accrued Patients First Program costs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6,800</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Accrued sales rebate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Accrued loss</w:t>
            </w:r>
          </w:p>
        </w:tc>
        <w:tc>
          <w:tcPr>
            <w:tcW w:w="17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2,681</w:t>
            </w: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9,750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10,954</w:t>
            </w:r>
          </w:p>
        </w:tc>
        <w:tc>
          <w:tcPr>
            <w:tcW w:w="60" w:type="dxa"/>
            <w:vAlign w:val="bottom"/>
          </w:tcPr>
          <w:p>
            <w:pPr>
              <w:spacing w:after="0"/>
              <w:rPr>
                <w:sz w:val="18"/>
                <w:szCs w:val="18"/>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$ 40,307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$ 29,372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Warranty accrual during the years ended December 31, 2006 and 2005 consists of the following activity (in thousands):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Warranty accrual,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-107315</wp:posOffset>
            </wp:positionV>
            <wp:extent cx="480250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02505" cy="137160"/>
                    </a:xfrm>
                    <a:prstGeom prst="rect">
                      <a:avLst/>
                    </a:prstGeom>
                    <a:noFill/>
                  </pic:spPr>
                </pic:pic>
              </a:graphicData>
            </a:graphic>
          </wp:anchor>
        </w:drawing>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Charged to costs and expenses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Actual warranty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-130810</wp:posOffset>
            </wp:positionV>
            <wp:extent cx="480250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02505" cy="13716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6"/>
          <w:szCs w:val="16"/>
          <w:color w:val="auto"/>
        </w:rPr>
        <w:t>Warranty accrual, December 31, 2005</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-121920</wp:posOffset>
            </wp:positionV>
            <wp:extent cx="480250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02505" cy="137160"/>
                    </a:xfrm>
                    <a:prstGeom prst="rect">
                      <a:avLst/>
                    </a:prstGeom>
                    <a:noFill/>
                  </pic:spPr>
                </pic:pic>
              </a:graphicData>
            </a:graphic>
          </wp:anchor>
        </w:drawing>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Actual warranty expenditures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Warranty accrual,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-116205</wp:posOffset>
            </wp:positionV>
            <wp:extent cx="480250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02505" cy="15430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0" w:hanging="200"/>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1,616</w:t>
      </w:r>
    </w:p>
    <w:p>
      <w:pPr>
        <w:spacing w:after="0" w:line="23"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2,699</w:t>
      </w:r>
    </w:p>
    <w:p>
      <w:pPr>
        <w:spacing w:after="0" w:line="9" w:lineRule="exact"/>
        <w:rPr>
          <w:sz w:val="20"/>
          <w:szCs w:val="20"/>
          <w:color w:val="auto"/>
        </w:rPr>
      </w:pPr>
    </w:p>
    <w:p>
      <w:pPr>
        <w:jc w:val="right"/>
        <w:ind w:right="1980"/>
        <w:spacing w:after="0"/>
        <w:rPr>
          <w:sz w:val="20"/>
          <w:szCs w:val="20"/>
          <w:color w:val="auto"/>
        </w:rPr>
      </w:pPr>
      <w:r>
        <w:rPr>
          <w:rFonts w:ascii="Arial" w:cs="Arial" w:eastAsia="Arial" w:hAnsi="Arial"/>
          <w:sz w:val="18"/>
          <w:szCs w:val="18"/>
          <w:color w:val="auto"/>
        </w:rPr>
        <w:t>(2,317)</w:t>
      </w:r>
    </w:p>
    <w:p>
      <w:pPr>
        <w:spacing w:after="0" w:line="9" w:lineRule="exact"/>
        <w:rPr>
          <w:sz w:val="20"/>
          <w:szCs w:val="20"/>
          <w:color w:val="auto"/>
        </w:rPr>
      </w:pPr>
    </w:p>
    <w:p>
      <w:pPr>
        <w:ind w:left="200" w:hanging="200"/>
        <w:spacing w:after="0"/>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1,998</w:t>
      </w:r>
    </w:p>
    <w:p>
      <w:pPr>
        <w:spacing w:after="0" w:line="22"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2,694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3860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(2,598)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$ 2,094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386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642" w:lineRule="exact"/>
        <w:rPr>
          <w:sz w:val="20"/>
          <w:szCs w:val="20"/>
          <w:color w:val="auto"/>
        </w:rPr>
      </w:pPr>
    </w:p>
    <w:p>
      <w:pPr>
        <w:sectPr>
          <w:pgSz w:w="11900" w:h="16838" w:orient="portrait"/>
          <w:cols w:equalWidth="0" w:num="2">
            <w:col w:w="8060" w:space="720"/>
            <w:col w:w="2640"/>
          </w:cols>
          <w:pgMar w:left="240" w:top="125" w:right="239" w:bottom="0" w:gutter="0" w:footer="0" w:header="0"/>
          <w:type w:val="continuous"/>
        </w:sectPr>
      </w:pPr>
    </w:p>
    <w:p>
      <w:pPr>
        <w:ind w:right="120" w:firstLine="360"/>
        <w:spacing w:after="0" w:line="279" w:lineRule="auto"/>
        <w:rPr>
          <w:sz w:val="20"/>
          <w:szCs w:val="20"/>
          <w:color w:val="auto"/>
        </w:rPr>
      </w:pPr>
      <w:r>
        <w:rPr>
          <w:rFonts w:ascii="Arial" w:cs="Arial" w:eastAsia="Arial" w:hAnsi="Arial"/>
          <w:sz w:val="17"/>
          <w:szCs w:val="17"/>
          <w:color w:val="auto"/>
        </w:rPr>
        <w:t>In January 2005, the Company acquired all of the membership interests of privately held General Orthodontics, LLC (“GO”). GO is the sole premier provider of consulting and education services to general practitioner dentists (“GP”) and orthodontists using the Invisalign orthodontic appliance. Upon the integration of GO, Align included GO’s consulting services in its clinical education and training programs under the name of Invisalign Consulting Services. The consolidated financial statements include the operating results of GO from the date of acquisition.</w:t>
      </w:r>
    </w:p>
    <w:p>
      <w:pPr>
        <w:spacing w:after="0" w:line="63"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 purchase price of $1.3 million was accounted for as a business combination and allocated to the acquired assets, goodwill and other identified intangibles, as follows (in thousands):</w:t>
      </w:r>
    </w:p>
    <w:p>
      <w:pPr>
        <w:spacing w:after="0" w:line="185"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liabilities assumed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Identified intangible assets acquired: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Consultant relationships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r>
      <w:tr>
        <w:trPr>
          <w:trHeight w:val="210"/>
        </w:trPr>
        <w:tc>
          <w:tcPr>
            <w:tcW w:w="69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1,339</w:t>
            </w:r>
          </w:p>
        </w:tc>
        <w:tc>
          <w:tcPr>
            <w:tcW w:w="10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valuation of the consultant relationships represent the fair value of consultant services which include direct consulting services to GO’s customers on the use of the Invisalign technology and training of GP dentists and orthodontists at the Company’s certification training sessions. Consultant relationships and other intangible assets are being amortized on a straight-line basis over the estimated useful life of three years.</w:t>
      </w:r>
    </w:p>
    <w:p>
      <w:pPr>
        <w:spacing w:after="0" w:line="73"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In accordance with the Membership Interest Purchase Agreement, the Company agreed to contingent earn-outs of up to $1.0 million payable to certain former holders of GO membership interests upon the achievement of milestones defined in the agreement. These contingent payments were accrued on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straight-line basis based on the estimated completion dates. The Company paid $0.5 million related to milestone completion in July 2005, and the remaining $0.5 million in April 2006.</w:t>
      </w:r>
    </w:p>
    <w:p>
      <w:pPr>
        <w:spacing w:after="0" w:line="62"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In conjunction with the GO acquisition, the Company recorded $0.5 million of goodwill, which represents the difference between the purchase price and the fair value of the acquired net assets and the identified intangible assets. As required by FASB Statement 142, “Goodwill and Other Intangible Assets” (“FAS 142”), the Company performs its annual impairment test in the fourth quarter of the fiscal year, or more frequently if indicators of potential impairment</w:t>
      </w:r>
    </w:p>
    <w:p>
      <w:pPr>
        <w:sectPr>
          <w:pgSz w:w="11900" w:h="16838" w:orient="portrait"/>
          <w:cols w:equalWidth="0" w:num="1">
            <w:col w:w="11420"/>
          </w:cols>
          <w:pgMar w:left="240" w:top="125" w:right="239" w:bottom="0" w:gutter="0" w:footer="0" w:header="0"/>
          <w:type w:val="continuous"/>
        </w:sectPr>
      </w:pPr>
    </w:p>
    <w:bookmarkStart w:id="42" w:name="page43"/>
    <w:bookmarkEnd w:id="42"/>
    <w:p>
      <w:pPr>
        <w:ind w:right="280"/>
        <w:spacing w:after="0" w:line="277" w:lineRule="auto"/>
        <w:rPr>
          <w:sz w:val="20"/>
          <w:szCs w:val="20"/>
          <w:color w:val="auto"/>
        </w:rPr>
      </w:pPr>
      <w:r>
        <w:rPr>
          <w:rFonts w:ascii="Arial" w:cs="Arial" w:eastAsia="Arial" w:hAnsi="Arial"/>
          <w:sz w:val="18"/>
          <w:szCs w:val="18"/>
          <w:color w:val="auto"/>
        </w:rPr>
        <w:t>exist, to determine if the recorded goodwill is impaired. In performing this assessment, Align compared the fair value of its single business segment to its carrying value, and determined that no goodwill impairment existed as of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Company’s purchased intangible assets as of December 31, 2006 and 2005 (in thousands):</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2006</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1"/>
              </w:rPr>
              <w:t>December 31, 2005</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4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Gross</w:t>
            </w:r>
          </w:p>
        </w:tc>
        <w:tc>
          <w:tcPr>
            <w:tcW w:w="160" w:type="dxa"/>
            <w:vAlign w:val="bottom"/>
          </w:tcPr>
          <w:p>
            <w:pPr>
              <w:spacing w:after="0"/>
              <w:rPr>
                <w:sz w:val="8"/>
                <w:szCs w:val="8"/>
                <w:color w:val="auto"/>
              </w:rPr>
            </w:pPr>
          </w:p>
        </w:tc>
        <w:tc>
          <w:tcPr>
            <w:tcW w:w="10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8"/>
                <w:szCs w:val="8"/>
                <w:color w:val="auto"/>
              </w:rPr>
            </w:pPr>
          </w:p>
        </w:tc>
        <w:tc>
          <w:tcPr>
            <w:tcW w:w="6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Net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37"/>
              <w:spacing w:after="0" w:line="102" w:lineRule="exact"/>
              <w:rPr>
                <w:sz w:val="20"/>
                <w:szCs w:val="20"/>
                <w:color w:val="auto"/>
              </w:rPr>
            </w:pPr>
            <w:r>
              <w:rPr>
                <w:rFonts w:ascii="Arial" w:cs="Arial" w:eastAsia="Arial" w:hAnsi="Arial"/>
                <w:sz w:val="11"/>
                <w:szCs w:val="11"/>
                <w:b w:val="1"/>
                <w:bCs w:val="1"/>
                <w:color w:val="auto"/>
              </w:rPr>
              <w:t>Gross</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Net</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74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$ 14,000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$ 13,388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Consultant relationships</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681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Patent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$ 15,215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$ 13,824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 xml:space="preserve">Non-compete agreements represent the fair value of assets received in conjunction with the OrthoClear Agreement. These intangible assets are being amortized on a straight-line basis over the expected useful life of five years beginning in the fourth quarter of 2006. </w:t>
      </w:r>
      <w:r>
        <w:rPr>
          <w:rFonts w:ascii="Arial" w:cs="Arial" w:eastAsia="Arial" w:hAnsi="Arial"/>
          <w:sz w:val="18"/>
          <w:szCs w:val="18"/>
          <w:i w:val="1"/>
          <w:iCs w:val="1"/>
          <w:color w:val="auto"/>
        </w:rPr>
        <w:t>See Note 2 “Patients First Program and</w:t>
      </w:r>
      <w:r>
        <w:rPr>
          <w:rFonts w:ascii="Arial" w:cs="Arial" w:eastAsia="Arial" w:hAnsi="Arial"/>
          <w:sz w:val="18"/>
          <w:szCs w:val="18"/>
          <w:color w:val="auto"/>
        </w:rPr>
        <w:t xml:space="preserve"> </w:t>
      </w:r>
      <w:r>
        <w:rPr>
          <w:rFonts w:ascii="Arial" w:cs="Arial" w:eastAsia="Arial" w:hAnsi="Arial"/>
          <w:sz w:val="18"/>
          <w:szCs w:val="18"/>
          <w:i w:val="1"/>
          <w:iCs w:val="1"/>
          <w:color w:val="auto"/>
        </w:rPr>
        <w:t>settlement costs” of the Notes to Consolidated Financial Statements for additional information.</w:t>
      </w:r>
    </w:p>
    <w:p>
      <w:pPr>
        <w:spacing w:after="0" w:line="73"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 xml:space="preserve">Consultant relationships and other intangible assets represent the fair value of intangible assets acquired as the result of the GO acquisition in 2005. Consultant relationships and other intangible assets are being amortized on a straight-line basis over the estimated useful life of three years. </w:t>
      </w:r>
      <w:r>
        <w:rPr>
          <w:rFonts w:ascii="Arial" w:cs="Arial" w:eastAsia="Arial" w:hAnsi="Arial"/>
          <w:sz w:val="18"/>
          <w:szCs w:val="18"/>
          <w:i w:val="1"/>
          <w:iCs w:val="1"/>
          <w:color w:val="auto"/>
        </w:rPr>
        <w:t>See Note 5</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 of the Notes to Consolidated Financial Statements for additional information.</w:t>
      </w:r>
    </w:p>
    <w:p>
      <w:pPr>
        <w:spacing w:after="0" w:line="73" w:lineRule="exact"/>
        <w:rPr>
          <w:sz w:val="20"/>
          <w:szCs w:val="20"/>
          <w:color w:val="auto"/>
        </w:rPr>
      </w:pPr>
    </w:p>
    <w:p>
      <w:pPr>
        <w:ind w:right="260" w:firstLine="360"/>
        <w:spacing w:after="0" w:line="255" w:lineRule="auto"/>
        <w:rPr>
          <w:sz w:val="20"/>
          <w:szCs w:val="20"/>
          <w:color w:val="auto"/>
        </w:rPr>
      </w:pPr>
      <w:r>
        <w:rPr>
          <w:rFonts w:ascii="Arial" w:cs="Arial" w:eastAsia="Arial" w:hAnsi="Arial"/>
          <w:sz w:val="18"/>
          <w:szCs w:val="18"/>
          <w:color w:val="auto"/>
        </w:rPr>
        <w:t>The Company performs an impairment test whenever events or changes in circumstances indicate that the carrying value of such assets may not be recoverable. Examples of such events or circumstances include significant underperformance relative to historical or projected future operating results, significant changes in the manner of use of acquired assets or the strategy for its business, significant negative industry or economic trends, and/or a significant decline in our stock price for a sustained period. Impairments are recognized based on the difference between the fair value of the asset and its carrying value, and fair value is generally measured based on discounted cash flow analyses. No intangible asset impairment was recorded for the periods presented.</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firstLine="360"/>
        <w:spacing w:after="0" w:line="308" w:lineRule="auto"/>
        <w:rPr>
          <w:sz w:val="20"/>
          <w:szCs w:val="20"/>
          <w:color w:val="auto"/>
        </w:rPr>
      </w:pPr>
      <w:r>
        <w:rPr>
          <w:rFonts w:ascii="Arial" w:cs="Arial" w:eastAsia="Arial" w:hAnsi="Arial"/>
          <w:sz w:val="17"/>
          <w:szCs w:val="17"/>
          <w:color w:val="auto"/>
        </w:rPr>
        <w:t>For the years ended December 31, 2006, 2005 and 2004, total amortization expense for intangible assets was $1.0 million, $0.4 million and $36,000, respectively. The total estimated annual future amortization expense for these intangible assets is as follows (in thousands):</w:t>
      </w:r>
    </w:p>
    <w:p>
      <w:pPr>
        <w:spacing w:after="0" w:line="125" w:lineRule="exact"/>
        <w:rPr>
          <w:sz w:val="20"/>
          <w:szCs w:val="20"/>
          <w:color w:val="auto"/>
        </w:rPr>
      </w:pPr>
    </w:p>
    <w:tbl>
      <w:tblPr>
        <w:tblLayout w:type="fixed"/>
        <w:tblInd w:w="192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2,856</w:t>
            </w: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18"/>
                <w:szCs w:val="18"/>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60" w:type="dxa"/>
            <w:vAlign w:val="bottom"/>
            <w:shd w:val="clear" w:color="auto" w:fill="CCEEFF"/>
          </w:tcPr>
          <w:p>
            <w:pPr>
              <w:spacing w:after="0"/>
              <w:rPr>
                <w:sz w:val="18"/>
                <w:szCs w:val="18"/>
                <w:color w:val="auto"/>
              </w:rPr>
            </w:pPr>
          </w:p>
        </w:tc>
      </w:tr>
      <w:tr>
        <w:trPr>
          <w:trHeight w:val="210"/>
        </w:trPr>
        <w:tc>
          <w:tcPr>
            <w:tcW w:w="6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13,824</w:t>
            </w:r>
          </w:p>
        </w:tc>
        <w:tc>
          <w:tcPr>
            <w:tcW w:w="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Legal Proceedings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OrthoClear</w:t>
      </w:r>
    </w:p>
    <w:p>
      <w:pPr>
        <w:spacing w:after="0" w:line="117" w:lineRule="exact"/>
        <w:rPr>
          <w:sz w:val="20"/>
          <w:szCs w:val="20"/>
          <w:color w:val="auto"/>
        </w:rPr>
      </w:pPr>
    </w:p>
    <w:p>
      <w:pPr>
        <w:ind w:right="200" w:firstLine="360"/>
        <w:spacing w:after="0" w:line="291" w:lineRule="auto"/>
        <w:rPr>
          <w:sz w:val="20"/>
          <w:szCs w:val="20"/>
          <w:color w:val="auto"/>
        </w:rPr>
      </w:pPr>
      <w:r>
        <w:rPr>
          <w:rFonts w:ascii="Arial" w:cs="Arial" w:eastAsia="Arial" w:hAnsi="Arial"/>
          <w:sz w:val="16"/>
          <w:szCs w:val="16"/>
          <w:i w:val="1"/>
          <w:iCs w:val="1"/>
          <w:color w:val="auto"/>
        </w:rPr>
        <w:t xml:space="preserve">State Action. </w:t>
      </w:r>
      <w:r>
        <w:rPr>
          <w:rFonts w:ascii="Arial" w:cs="Arial" w:eastAsia="Arial" w:hAnsi="Arial"/>
          <w:sz w:val="16"/>
          <w:szCs w:val="16"/>
          <w:color w:val="auto"/>
        </w:rPr>
        <w:t>On February 2, 2005, the Company filed a multi-claim lawsuit in San Francisco County Superior Court against defendants</w:t>
      </w:r>
      <w:r>
        <w:rPr>
          <w:rFonts w:ascii="Arial" w:cs="Arial" w:eastAsia="Arial" w:hAnsi="Arial"/>
          <w:sz w:val="16"/>
          <w:szCs w:val="16"/>
          <w:i w:val="1"/>
          <w:iCs w:val="1"/>
          <w:color w:val="auto"/>
        </w:rPr>
        <w:t xml:space="preserve"> </w:t>
      </w:r>
      <w:r>
        <w:rPr>
          <w:rFonts w:ascii="Arial" w:cs="Arial" w:eastAsia="Arial" w:hAnsi="Arial"/>
          <w:sz w:val="16"/>
          <w:szCs w:val="16"/>
          <w:color w:val="auto"/>
        </w:rPr>
        <w:t>OrthoClear, Inc., OrthoClear Holdings, Inc., Muhammad Ziaullah Chishti, Bao Tran, Peter Riepenhausen, Joe Breeland, Jeff Tunnell, Christopher Kawaja, and Charles Wen (the “State Action”). Among other things, the State Action alleged tort, contract, statutory and common law causes of action arising from OrthoClear and the individual defendants’ alleged plan to unlawfully utilize the Company’s intellectual property, confidential information and employees. The State Action also alleged that OrthoClear, Chishti and other defendants were in breach of contractual obligations, statutory law and common law for attempting to intentionally interfere and disrupt the Company’s ongoing business operations and improperly gain access to its customer relationships and trade secrets. Subsequent to the initial filing date, there were extensive proceedings in the case as reported in previous Align filings.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 xml:space="preserve">Federal Lanham Action. </w:t>
      </w:r>
      <w:r>
        <w:rPr>
          <w:rFonts w:ascii="Arial" w:cs="Arial" w:eastAsia="Arial" w:hAnsi="Arial"/>
          <w:sz w:val="18"/>
          <w:szCs w:val="18"/>
          <w:color w:val="auto"/>
        </w:rPr>
        <w:t>On July 19, 2005 and June 19, 2006, the Company filed a multi-claim lawsuit in the United States District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Northern District of California against OrthoClear (the “Federal Lanham Action I” and “Federal Lanham Action II”, respectively). The Federal Lanham Action I and Federal Lanham Action II alleged numerous violations of the Federal Lanham Act (15 U.S.C. §1051 et seq.) by OrthoClear and its officers and employees. These violations include unfair competition, trademark infringement and false advertising, among other things. The Federal Lanham Action I and Federal Lanham Action II also alleged violations by OrthoClear of California’s Unfair Practices Act (California Business and Professions Code §17200 et seq.).</w:t>
      </w:r>
    </w:p>
    <w:p>
      <w:pPr>
        <w:spacing w:after="0" w:line="85" w:lineRule="exact"/>
        <w:rPr>
          <w:sz w:val="20"/>
          <w:szCs w:val="20"/>
          <w:color w:val="auto"/>
        </w:rPr>
      </w:pPr>
    </w:p>
    <w:p>
      <w:pPr>
        <w:ind w:right="820" w:firstLine="360"/>
        <w:spacing w:after="0" w:line="342" w:lineRule="auto"/>
        <w:rPr>
          <w:sz w:val="20"/>
          <w:szCs w:val="20"/>
          <w:color w:val="auto"/>
        </w:rPr>
      </w:pPr>
      <w:r>
        <w:rPr>
          <w:rFonts w:ascii="Arial" w:cs="Arial" w:eastAsia="Arial" w:hAnsi="Arial"/>
          <w:sz w:val="16"/>
          <w:szCs w:val="16"/>
          <w:i w:val="1"/>
          <w:iCs w:val="1"/>
          <w:color w:val="auto"/>
        </w:rPr>
        <w:t xml:space="preserve">Patent Infringement ITC Complaint. </w:t>
      </w:r>
      <w:r>
        <w:rPr>
          <w:rFonts w:ascii="Arial" w:cs="Arial" w:eastAsia="Arial" w:hAnsi="Arial"/>
          <w:sz w:val="16"/>
          <w:szCs w:val="16"/>
          <w:color w:val="auto"/>
        </w:rPr>
        <w:t>On January 11, 2006, the Company filed a formal complaint with the United States International Trade</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(ITC) against OrthoClear, seeking to halt the importation into the United States of infringing certain patents of the Company.</w:t>
      </w:r>
    </w:p>
    <w:p>
      <w:pPr>
        <w:spacing w:after="0" w:line="16" w:lineRule="exact"/>
        <w:rPr>
          <w:sz w:val="20"/>
          <w:szCs w:val="20"/>
          <w:color w:val="auto"/>
        </w:rPr>
      </w:pPr>
    </w:p>
    <w:p>
      <w:pPr>
        <w:ind w:right="400" w:firstLine="360"/>
        <w:spacing w:after="0" w:line="308" w:lineRule="auto"/>
        <w:rPr>
          <w:sz w:val="20"/>
          <w:szCs w:val="20"/>
          <w:color w:val="auto"/>
        </w:rPr>
      </w:pPr>
      <w:r>
        <w:rPr>
          <w:rFonts w:ascii="Arial" w:cs="Arial" w:eastAsia="Arial" w:hAnsi="Arial"/>
          <w:sz w:val="17"/>
          <w:szCs w:val="17"/>
          <w:i w:val="1"/>
          <w:iCs w:val="1"/>
          <w:color w:val="auto"/>
        </w:rPr>
        <w:t xml:space="preserve">Patent Infringement Federal Action. </w:t>
      </w:r>
      <w:r>
        <w:rPr>
          <w:rFonts w:ascii="Arial" w:cs="Arial" w:eastAsia="Arial" w:hAnsi="Arial"/>
          <w:sz w:val="17"/>
          <w:szCs w:val="17"/>
          <w:color w:val="auto"/>
        </w:rPr>
        <w:t>On January 11, 2006, the Company filed a federal court patent infringement action against OrthoClear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Western District of Wisconsin (Madison) (the “Patent Infringement Federal Action”) asserting infringement of certain patents of the Company.</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OrthoClear Agreement</w:t>
      </w:r>
    </w:p>
    <w:p>
      <w:pPr>
        <w:spacing w:after="0" w:line="117"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On October 13, 2006, the Company and OrthoClear, Inc., OrthoClear Holdings, Inc., and OrthoClear Pakistan Pvt. Ltd. (“OrthoClear”), together with certain individuals associated with OrthoClear, executed a formal agreement (the “OrthoClear Agreement”). The OrthoClear Agreement included the following terms: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OrthoClear was required immediately discontinue all design, manufacture, marketing and sales of removable dental aligners worldwide;</w:t>
      </w:r>
    </w:p>
    <w:p>
      <w:pPr>
        <w:sectPr>
          <w:pgSz w:w="11900" w:h="16838" w:orient="portrait"/>
          <w:cols w:equalWidth="0" w:num="1">
            <w:col w:w="11340"/>
          </w:cols>
          <w:pgMar w:left="240" w:top="125" w:right="319" w:bottom="5"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140" w:hanging="172"/>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OrthoClear consented to the entry of an exclusion order by the ITC, enforced by the United States Customs Service, which prevents OrthoClear from importing its dental aligner products into the U.S., either directly or through a third party and the ITC subsequently terminated the ITC action on October 27, 2006;</w:t>
      </w:r>
    </w:p>
    <w:p>
      <w:pPr>
        <w:spacing w:after="0" w:line="73" w:lineRule="exact"/>
        <w:rPr>
          <w:rFonts w:ascii="Arial" w:cs="Arial" w:eastAsia="Arial" w:hAnsi="Arial"/>
          <w:sz w:val="18"/>
          <w:szCs w:val="18"/>
          <w:color w:val="auto"/>
        </w:rPr>
      </w:pPr>
    </w:p>
    <w:p>
      <w:pPr>
        <w:ind w:left="540" w:right="220" w:hanging="17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parties agreed to dismiss all pending lawsuits against each other, including the State Case, Federal Lanham Action I, Federal Lanham Action II, Patent Infringement Federal Action, with prejudice, and each such action has been subsequently dismissed;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OrthoClear agreed to stop accepting new patient cases for treatment;</w:t>
      </w:r>
    </w:p>
    <w:p>
      <w:pPr>
        <w:spacing w:after="0" w:line="117" w:lineRule="exact"/>
        <w:rPr>
          <w:rFonts w:ascii="Arial" w:cs="Arial" w:eastAsia="Arial" w:hAnsi="Arial"/>
          <w:sz w:val="18"/>
          <w:szCs w:val="18"/>
          <w:color w:val="auto"/>
        </w:rPr>
      </w:pPr>
    </w:p>
    <w:p>
      <w:pPr>
        <w:ind w:left="540" w:right="40" w:hanging="17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OrthoClear and Muhammad Ziaullah Chishti its CEO, and Charles Wen, its President, transferred and assigned to Align all intellectual property rights with application to the treatment of malocclusion;</w:t>
      </w:r>
    </w:p>
    <w:p>
      <w:pPr>
        <w:spacing w:after="0" w:line="62" w:lineRule="exact"/>
        <w:rPr>
          <w:rFonts w:ascii="Arial" w:cs="Arial" w:eastAsia="Arial" w:hAnsi="Arial"/>
          <w:sz w:val="18"/>
          <w:szCs w:val="18"/>
          <w:color w:val="auto"/>
        </w:rPr>
      </w:pPr>
    </w:p>
    <w:p>
      <w:pPr>
        <w:ind w:left="540" w:right="300" w:hanging="17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OrthoClear principals Muhammad Ziaullah Chishti, Charles Wen, Peter Riepenhausen, and Christopher Kawaja signed 5-year, global non-compete agreements in the field of removable aligner therapy products and related software market;</w:t>
      </w:r>
    </w:p>
    <w:p>
      <w:pPr>
        <w:spacing w:after="0" w:line="62" w:lineRule="exact"/>
        <w:rPr>
          <w:rFonts w:ascii="Arial" w:cs="Arial" w:eastAsia="Arial" w:hAnsi="Arial"/>
          <w:sz w:val="18"/>
          <w:szCs w:val="18"/>
          <w:color w:val="auto"/>
        </w:rPr>
      </w:pPr>
    </w:p>
    <w:p>
      <w:pPr>
        <w:ind w:left="540" w:right="560" w:hanging="17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OrthoClear employees Joe Breeland and Jeff Tunnell signed 5-year U.S. non-compete agreements prohibiting their personal participation in the removable aligner therapy product and related software market;</w:t>
      </w:r>
    </w:p>
    <w:p>
      <w:pPr>
        <w:spacing w:after="0" w:line="62" w:lineRule="exact"/>
        <w:rPr>
          <w:rFonts w:ascii="Arial" w:cs="Arial" w:eastAsia="Arial" w:hAnsi="Arial"/>
          <w:sz w:val="18"/>
          <w:szCs w:val="18"/>
          <w:color w:val="auto"/>
        </w:rPr>
      </w:pPr>
    </w:p>
    <w:p>
      <w:pPr>
        <w:ind w:left="540" w:right="180" w:hanging="17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made Invisalign treatment available to OrthoClear patients in the United States, Canada and Hong Kong at no charge from Align. The Company implemented this program as the Patients First Program.</w:t>
      </w:r>
    </w:p>
    <w:p>
      <w:pPr>
        <w:spacing w:after="0" w:line="62"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 xml:space="preserve">In accordance with the terms of the OrthoClear Agreement, on October 16, 2006, the Company made a one-time cash payment of $20.0 million to OrthoClear Holdings, Inc. </w:t>
      </w:r>
      <w:r>
        <w:rPr>
          <w:rFonts w:ascii="Arial" w:cs="Arial" w:eastAsia="Arial" w:hAnsi="Arial"/>
          <w:sz w:val="18"/>
          <w:szCs w:val="18"/>
          <w:i w:val="1"/>
          <w:iCs w:val="1"/>
          <w:color w:val="auto"/>
        </w:rPr>
        <w:t>See Note 2 “Patients First Programs and settlement costs” of the Notes to Consolidated Financial Statements for discussion on</w:t>
      </w:r>
      <w:r>
        <w:rPr>
          <w:rFonts w:ascii="Arial" w:cs="Arial" w:eastAsia="Arial" w:hAnsi="Arial"/>
          <w:sz w:val="18"/>
          <w:szCs w:val="18"/>
          <w:color w:val="auto"/>
        </w:rPr>
        <w:t xml:space="preserve"> </w:t>
      </w:r>
      <w:r>
        <w:rPr>
          <w:rFonts w:ascii="Arial" w:cs="Arial" w:eastAsia="Arial" w:hAnsi="Arial"/>
          <w:sz w:val="18"/>
          <w:szCs w:val="18"/>
          <w:i w:val="1"/>
          <w:iCs w:val="1"/>
          <w:color w:val="auto"/>
        </w:rPr>
        <w:t>Patients First Program</w:t>
      </w:r>
      <w:r>
        <w:rPr>
          <w:rFonts w:ascii="Arial" w:cs="Arial" w:eastAsia="Arial" w:hAnsi="Arial"/>
          <w:sz w:val="18"/>
          <w:szCs w:val="18"/>
          <w:color w:val="auto"/>
        </w:rPr>
        <w: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Ormco</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On January 6, 2003, Ormco Corporation (“Ormco”) filed suit against the Company in the United States District Court for the Central District, Orange County Division, asserting infringement of certain patents. Ormco is a division of Sybron Dental Specialties. In May 2006, Danaher Corporation acquired Sybron Dental Specialties. The complaint sought unspecified monetary damages and injunctive relief. On February 18, 2003, The Company answered the complaint and asserted counterclaims seeking a declaration by the Court of invalidity and non-infringement of the asserted patents. In addition, the Company counterclaimed for infringement of one of its patents, seeking unspecified monetary damages and injunctive relief. Ormco filed a reply to its counterclaims on March 10, 2003 and asserted counterclaims against the Company seeking a declaration by the Court of invalidity and non-infringement of the patent. The Company amended its counterclaim to add Allesee Orthodontic Appliances, Inc. (“AOA”), a wholly-owned subsidiary of Ormco, as a counterdefendant in regard to its counterclaim of infringement of the patent.</w:t>
      </w:r>
    </w:p>
    <w:p>
      <w:pPr>
        <w:spacing w:after="0" w:line="7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On February 1, 2006, the Company entered into a settlement agreement (the “Settlement Agreement”) with Ormco and AOA. In accordance with the terms of the Settlement Agreement, Ormco and AOA paid into escrow, pending the completion of the appellate process, $884,000 to resolve the issues of past damages, willfulness and attorneys’ fees for the adjudged infringement of two of the Company’s patents (the “Align Patents”) through the manufacture and sale of Ormco’s and AOA’s Red, White &amp; Blue appliances. The Company’s receipt of the payments out of escrow is contingent upon the Court, in a final, non-appealable judgment, finding that Ormco or AOA infringes at least one of the claims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the Align Patents. If, however, the Court issues a final, non-appealable judgment of non-infringement, invalidity or unenforceability with respect to each asserted claim of the Align Patents, all funds in the escrow account will be returned to Ormco and AOA. The Settlement Agreement does not affect</w:t>
      </w:r>
    </w:p>
    <w:p>
      <w:pPr>
        <w:ind w:right="180" w:firstLine="8"/>
        <w:spacing w:after="0" w:line="261"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Ormco’s appeal of the decisions and orders of the District Court relating to Ormco’s patents; or (2) our pending cross-appeal of the orders of the District Court relating to our patents.</w:t>
      </w:r>
    </w:p>
    <w:p>
      <w:pPr>
        <w:spacing w:after="0" w:line="76"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There have been two appeals. After the Permanent injunction was entered, Ormco and AOA appealed that injunction and the orders of the District Court on summary judgment on which that order was based. Oral argument took place on April 3, 2006. Following oral argument, the U.S. Court of Appeals for the Federal Circuit (“CAFC”) issued a ruling declaring two out of a total of seventy-one claims in our US Patent No. 6,398,548 and four out of a total of ten claims in US Patent No. 6,544,611 to be invalid as “obvious.” The CAFC’s decision reverses the California District Court summary judgment order of validity.</w:t>
      </w:r>
    </w:p>
    <w:p>
      <w:pPr>
        <w:spacing w:after="0" w:line="80" w:lineRule="exact"/>
        <w:rPr>
          <w:sz w:val="20"/>
          <w:szCs w:val="20"/>
          <w:color w:val="auto"/>
        </w:rPr>
      </w:pPr>
    </w:p>
    <w:p>
      <w:pPr>
        <w:ind w:right="320" w:firstLine="360"/>
        <w:spacing w:after="0" w:line="257" w:lineRule="auto"/>
        <w:rPr>
          <w:sz w:val="20"/>
          <w:szCs w:val="20"/>
          <w:color w:val="auto"/>
        </w:rPr>
      </w:pPr>
      <w:r>
        <w:rPr>
          <w:rFonts w:ascii="Arial" w:cs="Arial" w:eastAsia="Arial" w:hAnsi="Arial"/>
          <w:sz w:val="18"/>
          <w:szCs w:val="18"/>
          <w:color w:val="auto"/>
        </w:rPr>
        <w:t>The second appeal is from the final judgment. Once final judgment was entered, Ormco filed a Notice of Appeal from the final judgment and the Company filed a notice of cross-appeal. Ormco has appealed the ruling of the District Court that its patents are not infringed by the Company and that the asserted claims are invalid. The Company appealed the ruling of the District Court that certain claims of its 6,398,548 patent which were found to be infringed by Ormco’s and AOA’s Red, White &amp; Blue appliances were invalid. Briefing on this appeal and cross-appeal is complete, and oral argument occurred on February 6, 2007.</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Bay Materials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July 25, 2005, Bay Materials, LLC (“Bay”) filed suit against the Company in the Superior Court of the State of California for the County of San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Mateo. The complaint, as amended, asserts, among other things, breach of contract, promissory estoppel and fraud. Bay alleges that we breached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purchase order by failing to pay for unshipped goods manufactured by Bay pursuant to such order. Bay further alleges that the Company promised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 from Bay an alternative polyurethane product, and Bay relied on this representation to develop such an alternative product which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not to use. The complaint seeks monetary damages of $1.1 million related to breach of contract and research and development costs incurred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unspecified damages related to lost profit, punitive and exemplary damages, and legal expenses. On March 27, 2006, the Company filed its answer to Bay’s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complaint, and also filed a cross-complaint against Bay for breach of contract, breach of implied warranty of fitness, intentional misrepresentation,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concealment, specific performance, unjust enrichment and unfair business practices. The cross-complaint seeks monetary damages against Bay exceeding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In the fourth quarter of 2006, the parties agreed to settle their dispute and dismiss all claims and cross-claims against each other in exchange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one time payment by the Company to Bay in the amount of $750,000.</w:t>
      </w:r>
    </w:p>
    <w:p>
      <w:pPr>
        <w:sectPr>
          <w:pgSz w:w="11900" w:h="16838" w:orient="portrait"/>
          <w:cols w:equalWidth="0" w:num="1">
            <w:col w:w="11400"/>
          </w:cols>
          <w:pgMar w:left="240" w:top="125" w:right="259" w:bottom="0" w:gutter="0" w:footer="0" w:header="0"/>
        </w:sectPr>
      </w:pPr>
    </w:p>
    <w:bookmarkStart w:id="44" w:name="page45"/>
    <w:bookmarkEnd w:id="44"/>
    <w:p>
      <w:pPr>
        <w:spacing w:after="0" w:line="93"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Litigating claims of these types, whether or not ultimately determined in the Company’s favor or settled by the Company, is costly and diverts the efforts and attention of the Company’s management and technical personnel from normal business operations. Any of these results from litigation could adversely affect the Company’s results of operations. From time to time, the Company has received, and may again receive, letters from third parties drawing the Company’s attention to their patent rights. While the Company does not believe that it infringes any such rights that have been brought to the Company’s attention, there may be other more pertinent proprietary rights of which the Company is presently unaware.</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Credit Facilities</w:t>
      </w:r>
    </w:p>
    <w:p>
      <w:pPr>
        <w:spacing w:after="0" w:line="12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In December 2005, the Company renegotiated and amended its existing revolving line of credit to increase the available borrowings under the then existing revolving line of credit to $20 million. Included in the revolving line of credit is a letter of credit facility of up to $5 million, a foreign exchange facility of up to $5 million and an equipment facility of up to $10 million. The Company may elect interest rates on our borrowing calculated by reference to bank’s prime rate less one-half of one percent or LIBOR plus two percent. The credit facility matures on December 16, 2007, at which time all outstanding borrowings must be repaid. The credit facility contains certain restrictive loan covenants, including, among others, financial covenants requiring a minimum quick ratio and minimum tangible net worth, and covenants limiting our ability to dispose of assets, make acquisitions, be acquired, incur indebtedness, grant liens, make investments, pay dividends and repurchase stock. In December 2006, the Company amended its credit agreement whereby the only financial covenant for the fourth quarter of 2006 was a certain minimum cash balance. As of December 31, 2006, the Company is in compliance with the financial covenants of this credit facility.</w:t>
      </w:r>
    </w:p>
    <w:p>
      <w:pPr>
        <w:spacing w:after="0" w:line="89"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During the third quarter of 2006, the Company borrowed $15.0 million against this credit facility and made a $20.0 million one-time payment to OrthoClear Holdings, Inc in accordance with the terms of the OrthoClear Agreement. The Company elected LIBOR plus two percent as its interest rate of 7.29% as of December 31, 2006. The Company repaid $3.5 million of this borrowing in the fourth quarter of 2006, therefore the outstanding balance as of December 31, 2006 was $11.5 million.</w:t>
      </w:r>
    </w:p>
    <w:p>
      <w:pPr>
        <w:spacing w:after="0" w:line="7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On March 7, 2007, the Company renegotiated and amended its existing credit facility with Comerica Bank. The amendment, among other things, will reduce financial covenants to require only a quick ratio covenant. Additionally, the amendment will also increase the available borrowings under the existing revolving line of credit from $20 million to $25 million effective January 1, 2008. The amended credit facility matures on December 31, 2008 at which point all outstanding borrowing under this credit facility must be repaid.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Align rents its facilities and certain equipment and automobiles under non-cancelable operating lease arrangements. Facility leases expire at various dates through 2014 and provide for pre-negotiated fixed rental rates during the terms of the lease.</w:t>
      </w:r>
    </w:p>
    <w:p>
      <w:pPr>
        <w:spacing w:after="0" w:line="62"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In February 2005, the Company renewed its Santa Clara headquarters lease allowing it to utilize the security deposit of $1.3 million paid at the inception of the lease on July 1, 2000, to reduce the monthly rent payment by $11,000. By the end of the lease term at June 30, 2010, the security deposit balance will reduce to $0.6 million.</w:t>
      </w:r>
    </w:p>
    <w:p>
      <w:pPr>
        <w:spacing w:after="0" w:line="73"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In June 2004, the Company’s European headquarters signed a lease agreement for a facility in Amsterdam, The Netherlands. This lease expires in 2014 with an option to cancel in 2009 with a lease termination fee of approximately $238,000. The Company anticipates it will cancel this lease in 2009 and is accruing for the termination fee on a straight line basis.</w:t>
      </w:r>
    </w:p>
    <w:p>
      <w:pPr>
        <w:spacing w:after="0" w:line="73" w:lineRule="exact"/>
        <w:rPr>
          <w:sz w:val="20"/>
          <w:szCs w:val="20"/>
          <w:color w:val="auto"/>
        </w:rPr>
      </w:pPr>
    </w:p>
    <w:p>
      <w:pPr>
        <w:ind w:right="240" w:firstLine="360"/>
        <w:spacing w:after="0" w:line="308" w:lineRule="auto"/>
        <w:rPr>
          <w:sz w:val="20"/>
          <w:szCs w:val="20"/>
          <w:color w:val="auto"/>
        </w:rPr>
      </w:pPr>
      <w:r>
        <w:rPr>
          <w:rFonts w:ascii="Arial" w:cs="Arial" w:eastAsia="Arial" w:hAnsi="Arial"/>
          <w:sz w:val="17"/>
          <w:szCs w:val="17"/>
          <w:color w:val="auto"/>
        </w:rPr>
        <w:t>The Company recognizes rent expense on a straight-line basis over the lease period, and has accrued for rent expense incurred but not paid. Total rent expense was $3.8 million, $4.3 million and, $4.9 million for the years ended December 31, 2006, 2005 and 2004, respectively.</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Minimum future lease payments for non-cancelable leases as of December 31, 2006, are as follow (in thousands):</w:t>
      </w:r>
    </w:p>
    <w:p>
      <w:pPr>
        <w:spacing w:after="0" w:line="203" w:lineRule="exact"/>
        <w:rPr>
          <w:sz w:val="20"/>
          <w:szCs w:val="20"/>
          <w:color w:val="auto"/>
        </w:rPr>
      </w:pPr>
    </w:p>
    <w:tbl>
      <w:tblPr>
        <w:tblLayout w:type="fixed"/>
        <w:tblInd w:w="1920" w:type="dxa"/>
        <w:tblCellMar>
          <w:top w:w="0" w:type="dxa"/>
          <w:left w:w="0" w:type="dxa"/>
          <w:bottom w:w="0" w:type="dxa"/>
          <w:right w:w="0" w:type="dxa"/>
        </w:tblCellMar>
      </w:tblPr>
      <w:tr>
        <w:trPr>
          <w:trHeight w:val="171"/>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$ 3,261</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2008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2,268</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7,419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jc w:val="both"/>
        <w:ind w:right="760" w:firstLine="360"/>
        <w:spacing w:after="0" w:line="286" w:lineRule="auto"/>
        <w:rPr>
          <w:sz w:val="20"/>
          <w:szCs w:val="20"/>
          <w:color w:val="auto"/>
        </w:rPr>
      </w:pPr>
      <w:r>
        <w:rPr>
          <w:rFonts w:ascii="Arial" w:cs="Arial" w:eastAsia="Arial" w:hAnsi="Arial"/>
          <w:sz w:val="17"/>
          <w:szCs w:val="17"/>
          <w:color w:val="auto"/>
        </w:rPr>
        <w:t>As of December 31, 2006, the Company has authorized 5,000,000 shares of preferred stock, $0.0001 par value, none of which was issued and outstanding. Pursuant to the Certificate of Designation of Rights and Privileges of Series A Participating Preferred Stock filed on October 26, 2005, 200,000 shares of such preferred stock have been designated as Series A Participating Preferred Stock.</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Preferred Stock Rights Agreement</w:t>
      </w:r>
    </w:p>
    <w:p>
      <w:pPr>
        <w:spacing w:after="0" w:line="117"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On October 25, 2005, pursuant to a Preferred Stock Rights Agreement (the “Rights Agreement”) between the Company and EquiServe Trust Company (now Computershare Limited), as the Rights Agent, the Company’s Board of Directors declared a dividend of one right (a “Right”) to purchase one one-thousandth share of the Company’s Series A Participating Preferred Stock (“Series A Preferred”) for each outstanding share of common stock, par value $0.0001 per share of the Company. The dividend was paid on November 22, 2005 to stockholders of record as of the close of business on that date. Each</w:t>
      </w:r>
    </w:p>
    <w:p>
      <w:pPr>
        <w:sectPr>
          <w:pgSz w:w="11900" w:h="16931" w:orient="portrait"/>
          <w:cols w:equalWidth="0" w:num="1">
            <w:col w:w="11380"/>
          </w:cols>
          <w:pgMar w:left="240" w:top="125" w:right="279" w:bottom="0" w:gutter="0" w:footer="0" w:header="0"/>
        </w:sectPr>
      </w:pPr>
    </w:p>
    <w:bookmarkStart w:id="45" w:name="page46"/>
    <w:bookmarkEnd w:id="45"/>
    <w:p>
      <w:pPr>
        <w:spacing w:after="0" w:line="270" w:lineRule="auto"/>
        <w:rPr>
          <w:sz w:val="20"/>
          <w:szCs w:val="20"/>
          <w:color w:val="auto"/>
        </w:rPr>
      </w:pPr>
      <w:r>
        <w:rPr>
          <w:rFonts w:ascii="Arial" w:cs="Arial" w:eastAsia="Arial" w:hAnsi="Arial"/>
          <w:sz w:val="17"/>
          <w:szCs w:val="17"/>
          <w:color w:val="auto"/>
        </w:rPr>
        <w:t>Right entitles the registered holder, subject to the terms of the Rights Agreement, to purchase from the Company one one-thousandth of a share of Series A Preferred at an exercise price of $37.00, subject to adjustment. The Rights will be separate from the shares of Common Stock. Rights Certificates will be issued and the Rights will become exercisable upon the earlier of (a) the tenth business day (or such later date as may be determined by the Company’s Board of Directors) after a public announcement that a person or group of affiliated or associated persons (“Acquiring Person”) has acquired beneficial ownership of 15% or more of the shares of Common Stock then outstanding, or (b) the tenth business day (or such later date as may be determined by the Company’s Board of Directors) after a person or group announces a tender or exchange offer, the consummation of which would result in ownership by a person or group of 15% or more of the Company’s then outstanding shares of Common Stock. An Acquiring Person does not include certain persons specified in the Rights Agreement. The Rights will expire on the earliest of (i) November 22, 2015, or (ii) redemption or exchange of the Rights as described below. As of December 31, 2006, no rights were exercised.</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holders of common stock are entitled to receive dividends whenever funds are legally available and when and if declared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declared or paid any dividends as of December 31, 2006.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Align’s Employee Stock Purchase Plan (the “Purchase Plan”) consists of overlapping twenty-four month offering periods with four six-month purchase periods in each offering period. Employees purchase shares at 85% of the fair market value of the common stock at either the beginning of the purchase period or the end of the purchase period, whichever price is lower. The Purchase Plan provides that the number of shares of the Company’s common stock reserved for issuance thereunder will automatically increase on the first trading day of January in each calendar year by an amount equal to three percent (3%) of the total number of shares of common stock outstanding on the last trading day in December of the immediately preceding calendar year, with this annual increase not to exceed 1,500,000 shares.</w:t>
      </w:r>
    </w:p>
    <w:p>
      <w:pPr>
        <w:spacing w:after="0" w:line="85"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During the year ended December 31, 2006, 462,404 shares were issued under the Purchase Plan. As of December 31, 2006, the Company had reserved 8,933,456 shares of common stock for future issuance and 7,272,388 shares remain available for future issuance.</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As of December 31, 2006, there was $0.5 million of total unamortized compensation costs related to employee stock purchases. These costs are expected to be recognized over a weighted average period of 0.3 years.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 Plans</w:t>
      </w:r>
    </w:p>
    <w:p>
      <w:pPr>
        <w:spacing w:after="0" w:line="117" w:lineRule="exact"/>
        <w:rPr>
          <w:sz w:val="20"/>
          <w:szCs w:val="20"/>
          <w:color w:val="auto"/>
        </w:rPr>
      </w:pPr>
    </w:p>
    <w:p>
      <w:pPr>
        <w:ind w:right="40" w:firstLine="360"/>
        <w:spacing w:after="0" w:line="236" w:lineRule="auto"/>
        <w:rPr>
          <w:sz w:val="20"/>
          <w:szCs w:val="20"/>
          <w:color w:val="auto"/>
        </w:rPr>
      </w:pPr>
      <w:r>
        <w:rPr>
          <w:rFonts w:ascii="Arial" w:cs="Arial" w:eastAsia="Arial" w:hAnsi="Arial"/>
          <w:sz w:val="18"/>
          <w:szCs w:val="18"/>
          <w:color w:val="auto"/>
        </w:rPr>
        <w:t>In May 2005, stockholder approval was obtained for the 2005 Incentive Plan (“2005 Plan”), which replaced the 2001 Stock Incentive Plan (the “2001 Plan”). The 2005 Plan, which expires December 31, 2010, provides for the granting of incentive stock options, non-statutory stock options, restricted stock units, stock appreciation rights, performance units and performance shares. Employees, non-employee directors and consultants are eligible to receive grants under the 2005 Plan. The options are granted for periods not exceeding ten years and generally vest over 4 years with 25% vesting one year from the date of grant and 1/48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each month thereafter. The Plan Administrator may, however, grant options with different vesting schedules at its option. In the first quarter of 2005, the Company granted options under the 2001 Plan (prior to the approval of the 2005 Plan), that vest over 3 years, with 25% vested at the date of grant, and 1/36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each month thereafter. Options are to be granted at an exercise price not less than the fair market value of the underlying shares at the date of grant.</w:t>
      </w:r>
    </w:p>
    <w:p>
      <w:pPr>
        <w:spacing w:after="0" w:line="95" w:lineRule="exact"/>
        <w:rPr>
          <w:sz w:val="20"/>
          <w:szCs w:val="20"/>
          <w:color w:val="auto"/>
        </w:rPr>
      </w:pPr>
    </w:p>
    <w:p>
      <w:pPr>
        <w:jc w:val="both"/>
        <w:ind w:right="180" w:firstLine="360"/>
        <w:spacing w:after="0" w:line="259" w:lineRule="auto"/>
        <w:rPr>
          <w:sz w:val="20"/>
          <w:szCs w:val="20"/>
          <w:color w:val="auto"/>
        </w:rPr>
      </w:pPr>
      <w:r>
        <w:rPr>
          <w:rFonts w:ascii="Arial" w:cs="Arial" w:eastAsia="Arial" w:hAnsi="Arial"/>
          <w:sz w:val="18"/>
          <w:szCs w:val="18"/>
          <w:color w:val="auto"/>
        </w:rPr>
        <w:t>Starting in the first quarter of 2006, the Compensation Committee of the Board of Directors approved the grant of restricted stock units (contracts that give the recipients the right to receive shares as the units vest) to its employees and director(s) in addition to stock options. Each restricted stock unit award generally vests over 4 years with 25% on the one year anniversary of the date of grant and 6.25% vesting quarterly thereafter. Any grants of restricted stock units will reduce shares available for grant at a 2:1 ratio.</w:t>
      </w:r>
    </w:p>
    <w:p>
      <w:pPr>
        <w:spacing w:after="0" w:line="79"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The 2005 Plan has 9,983,379 shares of the Company’s common stock reserved for issuance, plus up to an aggregate of 5,000,000 shares that are or would have been returned to the 2001 Plan as a result of termination of outstanding options or repurchase of shares granted under the 2001 Plan on or after March 28, 2005. As of December 31, 2006, 2,084,687 shares have been transferred to the 2005 Plan. As of December 31, 2006, 7,904,506 shares remain available for issuance under the 2005 Plan.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Executive Grants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January 2001, the stockholders approved two option grants to purchase 1,000,000 shares of the Company’s common stock at an exercise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$15.00 per share to each of the Company’s then Chief Executive Officer and President. The options were granted outside of the 1997 Equity Incentive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prior to the adoption of the 2001 Plan or the 2005 Plan. The remaining 500,000 shares were cancelled in May 2006. As of December 31, 2006, no options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purchase shares of common stock remained outstanding under these grants.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Activity for the years ended December 31, 2005 and 2004 under the stock option and executive grant plans are set forth below (in thousands, except per share data):</w:t>
      </w:r>
    </w:p>
    <w:p>
      <w:pPr>
        <w:spacing w:after="0" w:line="13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6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December 31, 2005</w:t>
            </w: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2004</w:t>
            </w:r>
          </w:p>
        </w:tc>
        <w:tc>
          <w:tcPr>
            <w:tcW w:w="0" w:type="dxa"/>
            <w:vAlign w:val="bottom"/>
          </w:tcPr>
          <w:p>
            <w:pPr>
              <w:spacing w:after="0"/>
              <w:rPr>
                <w:sz w:val="1"/>
                <w:szCs w:val="1"/>
                <w:color w:val="auto"/>
              </w:rPr>
            </w:pPr>
          </w:p>
        </w:tc>
      </w:tr>
      <w:tr>
        <w:trPr>
          <w:trHeight w:val="102"/>
        </w:trPr>
        <w:tc>
          <w:tcPr>
            <w:tcW w:w="52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2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Shares</w:t>
            </w: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Exercise</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Shares</w:t>
            </w: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gridSpan w:val="2"/>
            <w:vMerge w:val="continue"/>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$ 10.35</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  7.03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5,593</w:t>
            </w:r>
          </w:p>
        </w:tc>
        <w:tc>
          <w:tcPr>
            <w:tcW w:w="22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2,446</w:t>
            </w:r>
          </w:p>
        </w:tc>
        <w:tc>
          <w:tcPr>
            <w:tcW w:w="22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17.85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(1,695)</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Repurchased</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46" w:name="page47"/>
    <w:bookmarkEnd w:id="46"/>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Expired</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8.76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Activity for the years ended December 31, 2006 under the stock option and executive grant plans are set forth below (in thousands, except per share data):</w:t>
      </w:r>
    </w:p>
    <w:p>
      <w:pPr>
        <w:spacing w:after="0" w:line="132"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28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9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340" w:type="dxa"/>
            <w:vAlign w:val="bottom"/>
            <w:gridSpan w:val="5"/>
            <w:vMerge w:val="continue"/>
          </w:tcPr>
          <w:p>
            <w:pPr>
              <w:spacing w:after="0"/>
              <w:rPr>
                <w:sz w:val="11"/>
                <w:szCs w:val="11"/>
                <w:color w:val="auto"/>
              </w:rPr>
            </w:pPr>
          </w:p>
        </w:tc>
        <w:tc>
          <w:tcPr>
            <w:tcW w:w="128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1"/>
                <w:szCs w:val="11"/>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1340" w:type="dxa"/>
            <w:vAlign w:val="bottom"/>
            <w:gridSpan w:val="5"/>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 Exercise</w:t>
            </w:r>
          </w:p>
        </w:tc>
        <w:tc>
          <w:tcPr>
            <w:tcW w:w="128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Price</w:t>
            </w:r>
          </w:p>
        </w:tc>
        <w:tc>
          <w:tcPr>
            <w:tcW w:w="12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Term (in years)</w:t>
            </w:r>
          </w:p>
        </w:tc>
        <w:tc>
          <w:tcPr>
            <w:tcW w:w="10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Cancelled or expired</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(2,317)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gridSpan w:val="2"/>
            <w:shd w:val="clear" w:color="auto" w:fill="CCEEFF"/>
          </w:tcPr>
          <w:p>
            <w:pPr>
              <w:jc w:val="center"/>
              <w:ind w:left="323"/>
              <w:spacing w:after="0"/>
              <w:rPr>
                <w:sz w:val="20"/>
                <w:szCs w:val="20"/>
                <w:color w:val="auto"/>
              </w:rPr>
            </w:pPr>
            <w:r>
              <w:rPr>
                <w:rFonts w:ascii="Arial" w:cs="Arial" w:eastAsia="Arial" w:hAnsi="Arial"/>
                <w:sz w:val="18"/>
                <w:szCs w:val="18"/>
                <w:color w:val="auto"/>
                <w:w w:val="87"/>
              </w:rPr>
              <w:t>7.5</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$ 53,160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Ending vested and expected to vest at</w:t>
            </w: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80" w:type="dxa"/>
            <w:vAlign w:val="bottom"/>
            <w:vMerge w:val="continue"/>
          </w:tcPr>
          <w:p>
            <w:pPr>
              <w:spacing w:after="0"/>
              <w:rPr>
                <w:sz w:val="13"/>
                <w:szCs w:val="13"/>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8,847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8.88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vMerge w:val="restart"/>
          </w:tcPr>
          <w:p>
            <w:pPr>
              <w:jc w:val="center"/>
              <w:ind w:left="323"/>
              <w:spacing w:after="0"/>
              <w:rPr>
                <w:sz w:val="20"/>
                <w:szCs w:val="20"/>
                <w:color w:val="auto"/>
              </w:rPr>
            </w:pPr>
            <w:r>
              <w:rPr>
                <w:rFonts w:ascii="Arial" w:cs="Arial" w:eastAsia="Arial" w:hAnsi="Arial"/>
                <w:sz w:val="18"/>
                <w:szCs w:val="18"/>
                <w:color w:val="auto"/>
                <w:w w:val="87"/>
              </w:rPr>
              <w:t>7.4</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$ 51,217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880" w:type="dxa"/>
            <w:vAlign w:val="bottom"/>
          </w:tcPr>
          <w:p>
            <w:pPr>
              <w:ind w:left="180"/>
              <w:spacing w:after="0"/>
              <w:rPr>
                <w:sz w:val="20"/>
                <w:szCs w:val="20"/>
                <w:color w:val="auto"/>
              </w:rPr>
            </w:pPr>
            <w:r>
              <w:rPr>
                <w:rFonts w:ascii="Arial" w:cs="Arial" w:eastAsia="Arial" w:hAnsi="Arial"/>
                <w:sz w:val="18"/>
                <w:szCs w:val="18"/>
                <w:color w:val="auto"/>
              </w:rPr>
              <w:t>December 31, 2006</w:t>
            </w:r>
          </w:p>
        </w:tc>
        <w:tc>
          <w:tcPr>
            <w:tcW w:w="6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8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December 31, 2006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6.9</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$ 37,139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80" w:firstLine="360"/>
        <w:spacing w:after="0" w:line="312"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Align’s closing stock price on the last trading day of fiscal 2006 of $13.97 and the exercise price, multiplied by the number of in-the-money options) that would have been received by the option holders had all option holders exercised their options on December 31, 2006. This amount changes based on the fair market value of Align’s stock.</w:t>
      </w:r>
    </w:p>
    <w:p>
      <w:pPr>
        <w:spacing w:after="0" w:line="3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total intrinsic value of stock options exercised for the years ended December 31, 2006 and 2005 were $13.2 million, and $ 3.3 million, respectively. As of December 31, 2006, there was $10.0 million of total unamortized compensation costs related to stock options. These costs are expected to be recognized over a weighted average period of 2.5 years. For the year ended December 31, 2006, total recognized tax benefit from exercised options was immaterial.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options outstanding and currently exercisable by exercise price at December 31, 2006 are as follows (in thousands, except per share data):</w:t>
      </w:r>
    </w:p>
    <w:p>
      <w:pPr>
        <w:spacing w:after="0" w:line="215" w:lineRule="exact"/>
        <w:rPr>
          <w:sz w:val="20"/>
          <w:szCs w:val="20"/>
          <w:color w:val="auto"/>
        </w:rPr>
      </w:pPr>
    </w:p>
    <w:tbl>
      <w:tblPr>
        <w:tblLayout w:type="fixed"/>
        <w:tblInd w:w="2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7"/>
          </w:tcPr>
          <w:p>
            <w:pPr>
              <w:ind w:left="640"/>
              <w:spacing w:after="0"/>
              <w:rPr>
                <w:sz w:val="20"/>
                <w:szCs w:val="20"/>
                <w:color w:val="auto"/>
              </w:rPr>
            </w:pPr>
            <w:r>
              <w:rPr>
                <w:rFonts w:ascii="Arial" w:cs="Arial" w:eastAsia="Arial" w:hAnsi="Arial"/>
                <w:sz w:val="14"/>
                <w:szCs w:val="14"/>
                <w:b w:val="1"/>
                <w:bCs w:val="1"/>
                <w:color w:val="auto"/>
                <w:w w:val="91"/>
              </w:rPr>
              <w:t>Options Outstanding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8"/>
          </w:tcPr>
          <w:p>
            <w:pPr>
              <w:ind w:left="2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5"/>
          </w:tcPr>
          <w:p>
            <w:pPr>
              <w:jc w:val="center"/>
              <w:ind w:right="260"/>
              <w:spacing w:after="0" w:line="102" w:lineRule="exact"/>
              <w:rPr>
                <w:sz w:val="20"/>
                <w:szCs w:val="20"/>
                <w:color w:val="auto"/>
              </w:rPr>
            </w:pPr>
            <w:r>
              <w:rPr>
                <w:rFonts w:ascii="Arial" w:cs="Arial" w:eastAsia="Arial" w:hAnsi="Arial"/>
                <w:sz w:val="11"/>
                <w:szCs w:val="11"/>
                <w:b w:val="1"/>
                <w:bCs w:val="1"/>
                <w:color w:val="auto"/>
              </w:rPr>
              <w:t>Weighted</w:t>
            </w:r>
          </w:p>
        </w:tc>
        <w:tc>
          <w:tcPr>
            <w:tcW w:w="660" w:type="dxa"/>
            <w:vAlign w:val="bottom"/>
            <w:tcBorders>
              <w:top w:val="single" w:sz="8" w:color="auto"/>
            </w:tcBorders>
            <w:gridSpan w:val="4"/>
          </w:tcPr>
          <w:p>
            <w:pPr>
              <w:jc w:val="center"/>
              <w:ind w:right="40"/>
              <w:spacing w:after="0" w:line="102" w:lineRule="exact"/>
              <w:rPr>
                <w:sz w:val="20"/>
                <w:szCs w:val="20"/>
                <w:color w:val="auto"/>
              </w:rPr>
            </w:pPr>
            <w:r>
              <w:rPr>
                <w:rFonts w:ascii="Arial" w:cs="Arial" w:eastAsia="Arial" w:hAnsi="Arial"/>
                <w:sz w:val="11"/>
                <w:szCs w:val="11"/>
                <w:b w:val="1"/>
                <w:bCs w:val="1"/>
                <w:color w:val="auto"/>
              </w:rPr>
              <w:t>Weighted</w:t>
            </w:r>
          </w:p>
        </w:tc>
        <w:tc>
          <w:tcPr>
            <w:tcW w:w="2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5"/>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5"/>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1"/>
                <w:szCs w:val="11"/>
                <w:color w:val="auto"/>
              </w:rPr>
            </w:pPr>
          </w:p>
        </w:tc>
        <w:tc>
          <w:tcPr>
            <w:tcW w:w="84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Average</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680" w:type="dxa"/>
            <w:vAlign w:val="bottom"/>
            <w:gridSpan w:val="3"/>
            <w:vMerge w:val="continue"/>
          </w:tcPr>
          <w:p>
            <w:pPr>
              <w:spacing w:after="0"/>
              <w:rPr>
                <w:sz w:val="11"/>
                <w:szCs w:val="11"/>
                <w:color w:val="auto"/>
              </w:rPr>
            </w:pPr>
          </w:p>
        </w:tc>
        <w:tc>
          <w:tcPr>
            <w:tcW w:w="7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960" w:type="dxa"/>
            <w:vAlign w:val="bottom"/>
            <w:gridSpan w:val="5"/>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Remaining</w:t>
            </w:r>
          </w:p>
        </w:tc>
        <w:tc>
          <w:tcPr>
            <w:tcW w:w="880" w:type="dxa"/>
            <w:vAlign w:val="bottom"/>
            <w:gridSpan w:val="5"/>
          </w:tcPr>
          <w:p>
            <w:pPr>
              <w:ind w:left="40"/>
              <w:spacing w:after="0" w:line="135" w:lineRule="exact"/>
              <w:rPr>
                <w:sz w:val="20"/>
                <w:szCs w:val="20"/>
                <w:color w:val="auto"/>
              </w:rPr>
            </w:pPr>
            <w:r>
              <w:rPr>
                <w:rFonts w:ascii="Arial" w:cs="Arial" w:eastAsia="Arial" w:hAnsi="Arial"/>
                <w:sz w:val="14"/>
                <w:szCs w:val="14"/>
                <w:b w:val="1"/>
                <w:bCs w:val="1"/>
                <w:color w:val="auto"/>
              </w:rPr>
              <w:t>Exercise</w:t>
            </w:r>
          </w:p>
        </w:tc>
        <w:tc>
          <w:tcPr>
            <w:tcW w:w="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740" w:type="dxa"/>
            <w:vAlign w:val="bottom"/>
            <w:gridSpan w:val="6"/>
          </w:tcPr>
          <w:p>
            <w:pPr>
              <w:ind w:left="80"/>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62"/>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0.05– 4.95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1,259,157</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center"/>
              <w:ind w:left="147"/>
              <w:spacing w:after="0"/>
              <w:rPr>
                <w:sz w:val="20"/>
                <w:szCs w:val="20"/>
                <w:color w:val="auto"/>
              </w:rPr>
            </w:pPr>
            <w:r>
              <w:rPr>
                <w:rFonts w:ascii="Arial" w:cs="Arial" w:eastAsia="Arial" w:hAnsi="Arial"/>
                <w:sz w:val="18"/>
                <w:szCs w:val="18"/>
                <w:color w:val="auto"/>
                <w:w w:val="87"/>
              </w:rPr>
              <w:t>4.7</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1,256,444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5.30– 6.15</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1,021,906</w:t>
            </w:r>
          </w:p>
        </w:tc>
        <w:tc>
          <w:tcPr>
            <w:tcW w:w="700" w:type="dxa"/>
            <w:vAlign w:val="bottom"/>
            <w:gridSpan w:val="3"/>
          </w:tcPr>
          <w:p>
            <w:pPr>
              <w:jc w:val="center"/>
              <w:ind w:left="350"/>
              <w:spacing w:after="0"/>
              <w:rPr>
                <w:sz w:val="20"/>
                <w:szCs w:val="20"/>
                <w:color w:val="auto"/>
              </w:rPr>
            </w:pPr>
            <w:r>
              <w:rPr>
                <w:rFonts w:ascii="Arial" w:cs="Arial" w:eastAsia="Arial" w:hAnsi="Arial"/>
                <w:sz w:val="18"/>
                <w:szCs w:val="18"/>
                <w:color w:val="auto"/>
                <w:w w:val="87"/>
              </w:rPr>
              <w:t>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836,389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6.47– 6.95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1,070,047</w:t>
            </w:r>
          </w:p>
        </w:tc>
        <w:tc>
          <w:tcPr>
            <w:tcW w:w="70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7"/>
              </w:rPr>
              <w:t>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6.98– 7.25</w:t>
            </w:r>
          </w:p>
        </w:tc>
        <w:tc>
          <w:tcPr>
            <w:tcW w:w="760" w:type="dxa"/>
            <w:vAlign w:val="bottom"/>
          </w:tcPr>
          <w:p>
            <w:pPr>
              <w:jc w:val="right"/>
              <w:spacing w:after="0"/>
              <w:rPr>
                <w:sz w:val="20"/>
                <w:szCs w:val="20"/>
                <w:color w:val="auto"/>
              </w:rPr>
            </w:pPr>
            <w:r>
              <w:rPr>
                <w:rFonts w:ascii="Arial" w:cs="Arial" w:eastAsia="Arial" w:hAnsi="Arial"/>
                <w:sz w:val="18"/>
                <w:szCs w:val="18"/>
                <w:color w:val="auto"/>
              </w:rPr>
              <w:t>285,000</w:t>
            </w:r>
          </w:p>
        </w:tc>
        <w:tc>
          <w:tcPr>
            <w:tcW w:w="700" w:type="dxa"/>
            <w:vAlign w:val="bottom"/>
            <w:gridSpan w:val="3"/>
          </w:tcPr>
          <w:p>
            <w:pPr>
              <w:jc w:val="center"/>
              <w:ind w:left="350"/>
              <w:spacing w:after="0"/>
              <w:rPr>
                <w:sz w:val="20"/>
                <w:szCs w:val="20"/>
                <w:color w:val="auto"/>
              </w:rPr>
            </w:pPr>
            <w:r>
              <w:rPr>
                <w:rFonts w:ascii="Arial" w:cs="Arial" w:eastAsia="Arial" w:hAnsi="Arial"/>
                <w:sz w:val="18"/>
                <w:szCs w:val="18"/>
                <w:color w:val="auto"/>
                <w:w w:val="87"/>
              </w:rPr>
              <w:t>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7.35– 7.35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1,161,679</w:t>
            </w:r>
          </w:p>
        </w:tc>
        <w:tc>
          <w:tcPr>
            <w:tcW w:w="70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7"/>
              </w:rPr>
              <w:t>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1,121,679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7.40– 8.33</w:t>
            </w:r>
          </w:p>
        </w:tc>
        <w:tc>
          <w:tcPr>
            <w:tcW w:w="760" w:type="dxa"/>
            <w:vAlign w:val="bottom"/>
          </w:tcPr>
          <w:p>
            <w:pPr>
              <w:jc w:val="right"/>
              <w:spacing w:after="0"/>
              <w:rPr>
                <w:sz w:val="20"/>
                <w:szCs w:val="20"/>
                <w:color w:val="auto"/>
              </w:rPr>
            </w:pPr>
            <w:r>
              <w:rPr>
                <w:rFonts w:ascii="Arial" w:cs="Arial" w:eastAsia="Arial" w:hAnsi="Arial"/>
                <w:sz w:val="18"/>
                <w:szCs w:val="18"/>
                <w:color w:val="auto"/>
              </w:rPr>
              <w:t>996,597</w:t>
            </w:r>
          </w:p>
        </w:tc>
        <w:tc>
          <w:tcPr>
            <w:tcW w:w="700" w:type="dxa"/>
            <w:vAlign w:val="bottom"/>
            <w:gridSpan w:val="3"/>
          </w:tcPr>
          <w:p>
            <w:pPr>
              <w:jc w:val="center"/>
              <w:ind w:left="350"/>
              <w:spacing w:after="0"/>
              <w:rPr>
                <w:sz w:val="20"/>
                <w:szCs w:val="20"/>
                <w:color w:val="auto"/>
              </w:rPr>
            </w:pPr>
            <w:r>
              <w:rPr>
                <w:rFonts w:ascii="Arial" w:cs="Arial" w:eastAsia="Arial" w:hAnsi="Arial"/>
                <w:sz w:val="18"/>
                <w:szCs w:val="18"/>
                <w:color w:val="auto"/>
                <w:w w:val="87"/>
              </w:rPr>
              <w:t>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878,764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8.38– 8.38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1,089,463</w:t>
            </w:r>
          </w:p>
        </w:tc>
        <w:tc>
          <w:tcPr>
            <w:tcW w:w="70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7"/>
              </w:rPr>
              <w:t>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8.39–16.51</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1,035,967</w:t>
            </w:r>
          </w:p>
        </w:tc>
        <w:tc>
          <w:tcPr>
            <w:tcW w:w="700" w:type="dxa"/>
            <w:vAlign w:val="bottom"/>
            <w:gridSpan w:val="3"/>
          </w:tcPr>
          <w:p>
            <w:pPr>
              <w:jc w:val="center"/>
              <w:ind w:left="350"/>
              <w:spacing w:after="0"/>
              <w:rPr>
                <w:sz w:val="20"/>
                <w:szCs w:val="20"/>
                <w:color w:val="auto"/>
              </w:rPr>
            </w:pPr>
            <w:r>
              <w:rPr>
                <w:rFonts w:ascii="Arial" w:cs="Arial" w:eastAsia="Arial" w:hAnsi="Arial"/>
                <w:sz w:val="18"/>
                <w:szCs w:val="18"/>
                <w:color w:val="auto"/>
                <w:w w:val="87"/>
              </w:rPr>
              <w:t>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726,546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16.93–22.43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1,258,350</w:t>
            </w:r>
          </w:p>
        </w:tc>
        <w:tc>
          <w:tcPr>
            <w:tcW w:w="70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7"/>
              </w:rPr>
              <w:t>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1,196,787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9,178,166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6,436,435</w:t>
            </w:r>
          </w:p>
        </w:tc>
        <w:tc>
          <w:tcPr>
            <w:tcW w:w="2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Starting in the first quarter of 2006, the Company began granting restricted stock units that generally vest over 4 years with 25% vesting on the one year anniversary of the date of grant and 6.25% vesting quarterly thereafter. The fair value of each award is based on the Company’s closing stock price on the date of grant. As of December 31, 2006, the total fair value of vested restricted stock awards was zero. A summary of the nonvested shares for the year ended December 31, 2006 is as follows:</w:t>
      </w:r>
    </w:p>
    <w:p>
      <w:pPr>
        <w:spacing w:after="0" w:line="14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360" w:type="dxa"/>
            <w:vAlign w:val="bottom"/>
          </w:tcPr>
          <w:p>
            <w:pPr>
              <w:spacing w:after="0"/>
              <w:rPr>
                <w:sz w:val="11"/>
                <w:szCs w:val="11"/>
                <w:color w:val="auto"/>
              </w:rPr>
            </w:pPr>
          </w:p>
        </w:tc>
        <w:tc>
          <w:tcPr>
            <w:tcW w:w="11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5"/>
          </w:tcPr>
          <w:p>
            <w:pPr>
              <w:jc w:val="center"/>
              <w:ind w:right="60"/>
              <w:spacing w:after="0" w:line="135"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29"/>
        </w:trPr>
        <w:tc>
          <w:tcPr>
            <w:tcW w:w="5360" w:type="dxa"/>
            <w:vAlign w:val="bottom"/>
          </w:tcPr>
          <w:p>
            <w:pPr>
              <w:spacing w:after="0"/>
              <w:rPr>
                <w:sz w:val="11"/>
                <w:szCs w:val="11"/>
                <w:color w:val="auto"/>
              </w:rPr>
            </w:pPr>
          </w:p>
        </w:tc>
        <w:tc>
          <w:tcPr>
            <w:tcW w:w="960" w:type="dxa"/>
            <w:vAlign w:val="bottom"/>
            <w:tcBorders>
              <w:top w:val="single" w:sz="8" w:color="auto"/>
            </w:tcBorders>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442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8.69</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8.22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as of December 31, 2006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8.71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As of December 31, 2006, there was $2.7 million of total unamortized compensation costs related to restricted stock units. These costs are expected to be recognized over a weighted average period of 3.2 years.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Effective January 1, 2006, the Company adopted Statement of Financial Accounting Standards No. 123 (Revised 2004), “Share-based Payment” (“FAS 123R”) using the modified prospective transition method, which requires the measurement and recognition of compensation expense for all share-based payment awards made to our employees and directors and employee stock purchases related to the Employee Stock Purchase Plan based on estimated fair values over the requisite service period. In accordance with the modified prospective method, our financial statements for the prior periods have not been restated to reflect and do not include the impact of FAS 123R Stock Options.</w:t>
      </w:r>
    </w:p>
    <w:p>
      <w:pPr>
        <w:sectPr>
          <w:pgSz w:w="11900" w:h="16838" w:orient="portrait"/>
          <w:cols w:equalWidth="0" w:num="1">
            <w:col w:w="11420"/>
          </w:cols>
          <w:pgMar w:left="240" w:top="140" w:right="239" w:bottom="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Valuation assumptions</w:t>
      </w:r>
    </w:p>
    <w:p>
      <w:pPr>
        <w:spacing w:after="0" w:line="11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fair value of stock options granted and the option component of the Purchase Plan shares were estimated at the grant date using the Black-Scholes option pricing model with the following weighted average assumptions:</w:t>
      </w:r>
    </w:p>
    <w:p>
      <w:pPr>
        <w:spacing w:after="0" w:line="149"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40" w:type="dxa"/>
            <w:vAlign w:val="bottom"/>
            <w:gridSpan w:val="11"/>
          </w:tcPr>
          <w:p>
            <w:pPr>
              <w:jc w:val="right"/>
              <w:ind w:right="360"/>
              <w:spacing w:after="0"/>
              <w:rPr>
                <w:sz w:val="20"/>
                <w:szCs w:val="20"/>
                <w:color w:val="auto"/>
              </w:rPr>
            </w:pPr>
            <w:r>
              <w:rPr>
                <w:rFonts w:ascii="Arial" w:cs="Arial" w:eastAsia="Arial" w:hAnsi="Arial"/>
                <w:sz w:val="14"/>
                <w:szCs w:val="14"/>
                <w:b w:val="1"/>
                <w:bCs w:val="1"/>
                <w:color w:val="auto"/>
                <w:w w:val="93"/>
              </w:rPr>
              <w:t>The Years Ended December 31,</w:t>
            </w:r>
          </w:p>
        </w:tc>
      </w:tr>
      <w:tr>
        <w:trPr>
          <w:trHeight w:val="129"/>
        </w:trPr>
        <w:tc>
          <w:tcPr>
            <w:tcW w:w="4120" w:type="dxa"/>
            <w:vAlign w:val="bottom"/>
            <w:tcBorders>
              <w:bottom w:val="single" w:sz="8" w:color="CCEEFF"/>
            </w:tcBorders>
          </w:tcPr>
          <w:p>
            <w:pPr>
              <w:spacing w:after="0"/>
              <w:rPr>
                <w:sz w:val="11"/>
                <w:szCs w:val="11"/>
                <w:color w:val="auto"/>
              </w:rPr>
            </w:pPr>
          </w:p>
        </w:tc>
        <w:tc>
          <w:tcPr>
            <w:tcW w:w="11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2006</w:t>
            </w:r>
          </w:p>
        </w:tc>
        <w:tc>
          <w:tcPr>
            <w:tcW w:w="20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w w:val="89"/>
              </w:rPr>
              <w:t>2004</w:t>
            </w:r>
          </w:p>
        </w:tc>
        <w:tc>
          <w:tcPr>
            <w:tcW w:w="280" w:type="dxa"/>
            <w:vAlign w:val="bottom"/>
            <w:tcBorders>
              <w:bottom w:val="single" w:sz="8" w:color="CCEEFF"/>
            </w:tcBorders>
          </w:tcPr>
          <w:p>
            <w:pPr>
              <w:spacing w:after="0"/>
              <w:rPr>
                <w:sz w:val="11"/>
                <w:szCs w:val="11"/>
                <w:color w:val="auto"/>
              </w:rPr>
            </w:pPr>
          </w:p>
        </w:tc>
      </w:tr>
      <w:tr>
        <w:trPr>
          <w:trHeight w:val="196"/>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Weighted average fair value at grant date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Pr>
          <w:p>
            <w:pPr>
              <w:spacing w:after="0"/>
              <w:rPr>
                <w:sz w:val="18"/>
                <w:szCs w:val="18"/>
                <w:color w:val="auto"/>
              </w:rPr>
            </w:pPr>
          </w:p>
        </w:tc>
      </w:tr>
      <w:tr>
        <w:trPr>
          <w:trHeight w:val="324"/>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Weighted average fair value at grant date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7.17</w:t>
            </w:r>
          </w:p>
        </w:tc>
        <w:tc>
          <w:tcPr>
            <w:tcW w:w="280" w:type="dxa"/>
            <w:vAlign w:val="bottom"/>
          </w:tcPr>
          <w:p>
            <w:pPr>
              <w:spacing w:after="0"/>
              <w:rPr>
                <w:sz w:val="20"/>
                <w:szCs w:val="20"/>
                <w:color w:val="auto"/>
              </w:rPr>
            </w:pPr>
          </w:p>
        </w:tc>
      </w:tr>
    </w:tbl>
    <w:p>
      <w:pPr>
        <w:spacing w:after="0" w:line="24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expected term of stock options represents the weighted-average period the stock options are expected to remain outstanding. Upon the adoption of FAS 123R, the Company used a midpoint model to determine the expected term of stock options based on the Company’s historical exercise and post vesting cancellation experience, and the remaining contractual life of its outstanding options.</w:t>
      </w:r>
    </w:p>
    <w:p>
      <w:pPr>
        <w:spacing w:after="0" w:line="73"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The increase in expected life assumption used in the Black-Scholes option pricing for the year ended December 31, 2006 compared to the year ended December 31, 2005, is the result of granting options with shorter vesting in 2005.</w:t>
      </w:r>
    </w:p>
    <w:p>
      <w:pPr>
        <w:spacing w:after="0" w:line="62"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Company used a combination of historical volatility and peer group volatility in deriving its expected volatility assumption as allowed under FAS 123R and SAB 107. The Company’s historical volatility from 2002 to 2006 was used in determining expected volatility. The Company used peer group volatility instead of its own historical data for 2001, as the Company had unusually high volatility in its stock price as the result of its Initial Public Offering in 2001. The peer group volatility was derived based on historical volatility of a comparable peer group consisting of companies of similar size and operating in a similar industry.</w:t>
      </w:r>
    </w:p>
    <w:p>
      <w:pPr>
        <w:spacing w:after="0" w:line="8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risk free interest rate is based on the implied yield on a U.S. Treasury zero-coupon issue with a remaining term equal to the expected term of the option.</w:t>
      </w:r>
    </w:p>
    <w:p>
      <w:pPr>
        <w:spacing w:after="0" w:line="62"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 dividend yield reflects that the Company has not paid any cash dividends since inception and does not anticipate paying cash dividends in the foreseeable future.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Summary of Stock-based Compensation Expense</w:t>
      </w:r>
    </w:p>
    <w:p>
      <w:pPr>
        <w:spacing w:after="0" w:line="117"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Stock-based compensation expense recognized in the Consolidated Statements of Operations for the year ended December 31, 2006 is based on awards ultimately expected to vest and has been reduced for estimated forfeitures. FAS 123R requires forfeitures to be estimated at the time of grant and revised, if necessary, in subsequent periods if actual forfeitures differ from those estimates. Forfeitures were estimated based on historical experience. In the Company’s pro forma information required under FAS 123 for periods prior to fiscal 2006, the Company accounted for forfeitures as they occurred. The following</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table summarizes stock-based compensation expense related to all of the Company’s stock-based awards and employee stock purchases under FAS 123R for the year ended December 31, 2006:</w:t>
      </w:r>
    </w:p>
    <w:p>
      <w:pPr>
        <w:spacing w:after="0" w:line="132"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135"/>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Pr>
          <w:p>
            <w:pPr>
              <w:spacing w:after="0"/>
              <w:rPr>
                <w:sz w:val="11"/>
                <w:szCs w:val="11"/>
                <w:color w:val="auto"/>
              </w:rPr>
            </w:pPr>
          </w:p>
        </w:tc>
        <w:tc>
          <w:tcPr>
            <w:tcW w:w="920" w:type="dxa"/>
            <w:vAlign w:val="bottom"/>
            <w:gridSpan w:val="4"/>
          </w:tcPr>
          <w:p>
            <w:pPr>
              <w:jc w:val="center"/>
              <w:ind w:right="440"/>
              <w:spacing w:after="0" w:line="135"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6380" w:type="dxa"/>
            <w:vAlign w:val="bottom"/>
            <w:gridSpan w:val="2"/>
            <w:vMerge w:val="continue"/>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December 31, 2006</w:t>
            </w:r>
          </w:p>
        </w:tc>
        <w:tc>
          <w:tcPr>
            <w:tcW w:w="0" w:type="dxa"/>
            <w:vAlign w:val="bottom"/>
          </w:tcPr>
          <w:p>
            <w:pPr>
              <w:spacing w:after="0"/>
              <w:rPr>
                <w:sz w:val="1"/>
                <w:szCs w:val="1"/>
                <w:color w:val="auto"/>
              </w:rPr>
            </w:pPr>
          </w:p>
        </w:tc>
      </w:tr>
      <w:tr>
        <w:trPr>
          <w:trHeight w:val="210"/>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2,862</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4,054</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1,294</w:t>
            </w:r>
          </w:p>
        </w:tc>
        <w:tc>
          <w:tcPr>
            <w:tcW w:w="3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share-based compensation</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8,910</w:t>
            </w:r>
          </w:p>
        </w:tc>
        <w:tc>
          <w:tcPr>
            <w:tcW w:w="3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color w:val="auto"/>
        </w:rPr>
        <w:t>In connection with the grant of stock options prior to Align’s initial public offering (“IPO”) in 2001 and certain grants subsequent to the IPO, the Company recorded deferred stock compensation and amortized stock-based compensation expense over the option vesting period of four years using the straight-line method. The Company had fully amortized the deferred stock-based compensation balance as of December 31, 2004. Align recorded $5.1 million in amortization of deferred stock-based compensation during fiscal 2004. If the employee terminated employment, which resulted in the cancellation of any unvested options, the Company reversed the unamortized deferred stock-based compensation related to those options. Align reversed $0.1 million of unrecognized deferred compensation for terminated employees during fiscal 2004.</w:t>
      </w:r>
    </w:p>
    <w:p>
      <w:pPr>
        <w:spacing w:after="0" w:line="70"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For options granted to non-employees, the Company recorded stock-based compensation expense of $45,000 and $0.4 million for the fiscal years of 2005 and 2004, respectively.</w:t>
      </w:r>
    </w:p>
    <w:p>
      <w:pPr>
        <w:spacing w:after="0" w:line="62"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During fiscal 2005 and 2004, the Company accelerated the vesting of options to several employees in connection with related severance packages. In accordance with FASB Interpretation No. 44 “Accounting for Certain Transactions Involving Stock Compensation” (“FIN 44”), the acceleration charges were</w:t>
      </w:r>
    </w:p>
    <w:p>
      <w:pPr>
        <w:sectPr>
          <w:pgSz w:w="11900" w:h="16838" w:orient="portrait"/>
          <w:cols w:equalWidth="0" w:num="1">
            <w:col w:w="11400"/>
          </w:cols>
          <w:pgMar w:left="240" w:top="125" w:right="259" w:bottom="0" w:gutter="0" w:footer="0" w:header="0"/>
        </w:sectPr>
      </w:pPr>
    </w:p>
    <w:bookmarkStart w:id="48" w:name="page49"/>
    <w:bookmarkEnd w:id="48"/>
    <w:p>
      <w:pPr>
        <w:ind w:right="280"/>
        <w:spacing w:after="0" w:line="277" w:lineRule="auto"/>
        <w:rPr>
          <w:sz w:val="20"/>
          <w:szCs w:val="20"/>
          <w:color w:val="auto"/>
        </w:rPr>
      </w:pPr>
      <w:r>
        <w:rPr>
          <w:rFonts w:ascii="Arial" w:cs="Arial" w:eastAsia="Arial" w:hAnsi="Arial"/>
          <w:sz w:val="18"/>
          <w:szCs w:val="18"/>
          <w:color w:val="auto"/>
        </w:rPr>
        <w:t>measured based on the intrinsic value method, which is the difference between the market value of common stock at the acceleration date and the exercise price of the option. Acceleration charges for December 31, 2005 and 2004 were $67,000 and $0.4 million, respectively.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based compensation expense for the years ended December 31, 2005 and 2004 are as follows (in thousands):</w:t>
      </w:r>
    </w:p>
    <w:p>
      <w:pPr>
        <w:spacing w:after="0" w:line="187"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Years Ended</w:t>
            </w:r>
          </w:p>
        </w:tc>
      </w:tr>
      <w:tr>
        <w:trPr>
          <w:trHeight w:val="162"/>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29"/>
        </w:trPr>
        <w:tc>
          <w:tcPr>
            <w:tcW w:w="632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2005</w:t>
            </w:r>
          </w:p>
        </w:tc>
        <w:tc>
          <w:tcPr>
            <w:tcW w:w="2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Borders>
              <w:bottom w:val="single" w:sz="8" w:color="CCEEFF"/>
            </w:tcBorders>
          </w:tcPr>
          <w:p>
            <w:pPr>
              <w:spacing w:after="0"/>
              <w:rPr>
                <w:sz w:val="11"/>
                <w:szCs w:val="1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2,736</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1,586</w:t>
            </w:r>
          </w:p>
        </w:tc>
        <w:tc>
          <w:tcPr>
            <w:tcW w:w="60" w:type="dxa"/>
            <w:vAlign w:val="bottom"/>
          </w:tcPr>
          <w:p>
            <w:pPr>
              <w:spacing w:after="0"/>
              <w:rPr>
                <w:sz w:val="18"/>
                <w:szCs w:val="18"/>
                <w:color w:val="auto"/>
              </w:rPr>
            </w:pPr>
          </w:p>
        </w:tc>
      </w:tr>
      <w:tr>
        <w:trPr>
          <w:trHeight w:val="210"/>
        </w:trPr>
        <w:tc>
          <w:tcPr>
            <w:tcW w:w="6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5,867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Option Acceleration</w:t>
      </w:r>
    </w:p>
    <w:p>
      <w:pPr>
        <w:spacing w:after="0" w:line="117"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On October 6, 2005, the Compensation Committee of the Board of Directors approved the acceleration of the vesting for all unvested stock options with exercise prices greater than $7.10. The fair market value of Align’s common stock on the date of acceleration was $6.41 as quoted on the NASDAQ National Market. Options held by non-employee directors were excluded from the vesting acceleration. As a result of the acceleration, approximately 3.8 million options or 35% of the then total outstanding options became immediately exercisable as of October 6, 2005. The purpose of the acceleration was to eliminate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future compensation expense the Company would otherwise recognize in its statement of operations with respect to these accelerated options upon the adoption of FAS 123R.</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 Forma Information Under FAS 123 for Periods Prior to Fiscal 2006</w:t>
      </w:r>
    </w:p>
    <w:p>
      <w:pPr>
        <w:spacing w:after="0" w:line="117"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Prior to January 1, 2006, the Company accounted for stock-based employee compensation using the intrinsic value method under Accounting Principles Board Opinion No. 25, “Accounting for Stock Issued to Employees” (“APB 25”) and related interpretations and complied with the disclosure requirements of SFAS 148, “Accounting for Stock-Based Compensation—Transition and Disclosure—an amendment of FASB Statement No. 123.” Under the intrinsic method, the difference between the market price on the date of grant and the exercise price is charged to the results of operations over the vesting period. Accordingly, the Company was not required to recognize compensation cost for stock options issued to its employees or shares issued under the Purchase Plan because options were issued at market price on the date of grant.</w:t>
      </w:r>
    </w:p>
    <w:p>
      <w:pPr>
        <w:spacing w:after="0" w:line="70"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FAS 123R requires the Company to present pro forma information for the comparative period prior to the adoption as if it had accounted for all of its stock options under the fair value method of FAS 123. The following table illustrates the pro forma information regarding the effect on net earnings and net earnings per share for the year ended December 31, 2005 and 2004 as if the Company had accounted for the stock-based employee compensation under the fair value method of accounting:</w:t>
      </w:r>
    </w:p>
    <w:p>
      <w:pPr>
        <w:spacing w:after="0" w:line="148"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2"/>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4"/>
                <w:szCs w:val="1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590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profit, as reported</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00" w:type="dxa"/>
            <w:vAlign w:val="bottom"/>
            <w:gridSpan w:val="2"/>
          </w:tcPr>
          <w:p>
            <w:pPr>
              <w:spacing w:after="0" w:line="201" w:lineRule="exact"/>
              <w:rPr>
                <w:sz w:val="20"/>
                <w:szCs w:val="20"/>
                <w:color w:val="auto"/>
              </w:rPr>
            </w:pPr>
            <w:r>
              <w:rPr>
                <w:rFonts w:ascii="Arial" w:cs="Arial" w:eastAsia="Arial" w:hAnsi="Arial"/>
                <w:sz w:val="18"/>
                <w:szCs w:val="18"/>
                <w:color w:val="auto"/>
                <w:w w:val="96"/>
              </w:rPr>
              <w:t>Add: Stock-based employee compensation expense included in reported net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earnings under APB No. 25, net of related tax effects</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Deduct: Total stock-based employee compensation determined under the fair</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value method for all awards, net of related tax effects</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(40,342)</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(17,933)</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 forma 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(38,859</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8"/>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profit (loss) per share: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 reported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02</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90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Pro forma</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Diluted net earnings (loss) per share:</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Pro forma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590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(0.63</w:t>
            </w:r>
          </w:p>
        </w:tc>
        <w:tc>
          <w:tcPr>
            <w:tcW w:w="2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January 1999, the Company adopted a defined contribution retirement plan under Section 401(k) of the Internal Revenue Code. This plan covers substantially all employees who meet minimum age and service requirements and allows participants to defer a portion of their annual compensation on a pre-tax basis. Company contributions to the plan may be made at the discretion of the Board of Directors. There have been no contributions by the Company since the inception of the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deferred tax assets and liabilities were as follows (in thousands):</w:t>
      </w:r>
    </w:p>
    <w:p>
      <w:pPr>
        <w:spacing w:after="0" w:line="193"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Years Ended</w:t>
      </w:r>
    </w:p>
    <w:p>
      <w:pPr>
        <w:ind w:left="8140"/>
        <w:spacing w:after="0" w:line="221" w:lineRule="auto"/>
        <w:rPr>
          <w:sz w:val="20"/>
          <w:szCs w:val="20"/>
          <w:color w:val="auto"/>
        </w:rPr>
      </w:pPr>
      <w:r>
        <w:rPr>
          <w:rFonts w:ascii="Arial" w:cs="Arial" w:eastAsia="Arial" w:hAnsi="Arial"/>
          <w:sz w:val="14"/>
          <w:szCs w:val="14"/>
          <w:b w:val="1"/>
          <w:bCs w:val="1"/>
          <w:color w:val="auto"/>
        </w:rPr>
        <w:t>December 31,</w:t>
      </w:r>
    </w:p>
    <w:p>
      <w:pPr>
        <w:ind w:left="7940"/>
        <w:spacing w:after="0" w:line="234" w:lineRule="auto"/>
        <w:tabs>
          <w:tab w:leader="none" w:pos="888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0</wp:posOffset>
            </wp:positionV>
            <wp:extent cx="482790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27905" cy="13716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-94615</wp:posOffset>
            </wp:positionV>
            <wp:extent cx="10807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ind w:left="1920"/>
        <w:spacing w:after="0"/>
        <w:rPr>
          <w:sz w:val="20"/>
          <w:szCs w:val="20"/>
          <w:color w:val="auto"/>
        </w:rPr>
      </w:pPr>
      <w:r>
        <w:rPr>
          <w:rFonts w:ascii="Arial" w:cs="Arial" w:eastAsia="Arial" w:hAnsi="Arial"/>
          <w:sz w:val="15"/>
          <w:szCs w:val="15"/>
          <w:color w:val="auto"/>
        </w:rPr>
        <w:t>Deferred tax assets, net:</w:t>
      </w:r>
    </w:p>
    <w:p>
      <w:pPr>
        <w:sectPr>
          <w:pgSz w:w="11900" w:h="16838" w:orient="portrait"/>
          <w:cols w:equalWidth="0" w:num="1">
            <w:col w:w="11400"/>
          </w:cols>
          <w:pgMar w:left="240" w:top="125" w:right="259" w:bottom="0" w:gutter="0" w:footer="0" w:header="0"/>
          <w:type w:val="continuous"/>
        </w:sectPr>
      </w:pPr>
    </w:p>
    <w:bookmarkStart w:id="49" w:name="page50"/>
    <w:bookmarkEnd w:id="49"/>
    <w:tbl>
      <w:tblPr>
        <w:tblLayout w:type="fixed"/>
        <w:tblInd w:w="1920" w:type="dxa"/>
        <w:tblCellMar>
          <w:top w:w="0" w:type="dxa"/>
          <w:left w:w="0" w:type="dxa"/>
          <w:bottom w:w="0" w:type="dxa"/>
          <w:right w:w="0" w:type="dxa"/>
        </w:tblCellMar>
      </w:tblP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80,008</w:t>
            </w:r>
          </w:p>
        </w:tc>
        <w:tc>
          <w:tcPr>
            <w:tcW w:w="2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73,087</w:t>
            </w:r>
          </w:p>
        </w:tc>
        <w:tc>
          <w:tcPr>
            <w:tcW w:w="120" w:type="dxa"/>
            <w:vAlign w:val="bottom"/>
          </w:tcPr>
          <w:p>
            <w:pPr>
              <w:spacing w:after="0"/>
              <w:rPr>
                <w:sz w:val="20"/>
                <w:szCs w:val="20"/>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 carrryforwards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Accruals, allowances &amp; other not currently deductible for tax purposes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120" w:type="dxa"/>
            <w:vAlign w:val="bottom"/>
            <w:shd w:val="clear" w:color="auto" w:fill="CCEEFF"/>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102,153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89,988</w:t>
            </w: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(102,153)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(89,988)</w:t>
            </w: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The Company has provided a full valuation allowance at December 31, 2006 because Align believes that the net deferred tax assets are unlikely to be realized.</w:t>
      </w:r>
    </w:p>
    <w:p>
      <w:pPr>
        <w:spacing w:after="0" w:line="62"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At December 31, 2006, the Company had net operating loss carryforwards of approximately $214.9 million for federal purposes and $73.5 million for California state tax purposes. If not utilized, these carryforwards will begin to expire beginning in 2017 for federal purposes and 2007 for California purposes.</w:t>
      </w:r>
    </w:p>
    <w:p>
      <w:pPr>
        <w:spacing w:after="0" w:line="16" w:lineRule="exact"/>
        <w:rPr>
          <w:sz w:val="20"/>
          <w:szCs w:val="20"/>
          <w:color w:val="auto"/>
        </w:rPr>
      </w:pPr>
    </w:p>
    <w:p>
      <w:pPr>
        <w:ind w:right="80" w:firstLine="360"/>
        <w:spacing w:after="0" w:line="308" w:lineRule="auto"/>
        <w:rPr>
          <w:sz w:val="20"/>
          <w:szCs w:val="20"/>
          <w:color w:val="auto"/>
        </w:rPr>
      </w:pPr>
      <w:r>
        <w:rPr>
          <w:rFonts w:ascii="Arial" w:cs="Arial" w:eastAsia="Arial" w:hAnsi="Arial"/>
          <w:sz w:val="17"/>
          <w:szCs w:val="17"/>
          <w:color w:val="auto"/>
        </w:rPr>
        <w:t>The Company has research credit carryforwards of approximately $4.0 million for federal purposes and $5.4 million for California state tax purposes. If not utilized, the federal credit carryforwards will begin to expire in 2017. The California state credit can be carried forward indefinitely.</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differences between income taxes using the federal statutory income tax rate of 35% and the Company’s effective tax rate were as follows:</w:t>
      </w:r>
    </w:p>
    <w:p>
      <w:pPr>
        <w:spacing w:after="0" w:line="215"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560" w:type="dxa"/>
            <w:vAlign w:val="bottom"/>
            <w:gridSpan w:val="6"/>
          </w:tcPr>
          <w:p>
            <w:pPr>
              <w:jc w:val="right"/>
              <w:ind w:right="510"/>
              <w:spacing w:after="0"/>
              <w:rPr>
                <w:sz w:val="20"/>
                <w:szCs w:val="20"/>
                <w:color w:val="auto"/>
              </w:rPr>
            </w:pPr>
            <w:r>
              <w:rPr>
                <w:rFonts w:ascii="Arial" w:cs="Arial" w:eastAsia="Arial" w:hAnsi="Arial"/>
                <w:sz w:val="14"/>
                <w:szCs w:val="14"/>
                <w:b w:val="1"/>
                <w:bCs w:val="1"/>
                <w:color w:val="auto"/>
              </w:rPr>
              <w:t>Years Ended December 31,</w:t>
            </w:r>
          </w:p>
        </w:tc>
      </w:tr>
      <w:tr>
        <w:trPr>
          <w:trHeight w:val="129"/>
        </w:trPr>
        <w:tc>
          <w:tcPr>
            <w:tcW w:w="20" w:type="dxa"/>
            <w:vAlign w:val="bottom"/>
          </w:tcPr>
          <w:p>
            <w:pPr>
              <w:spacing w:after="0"/>
              <w:rPr>
                <w:sz w:val="11"/>
                <w:szCs w:val="11"/>
                <w:color w:val="auto"/>
              </w:rPr>
            </w:pPr>
          </w:p>
        </w:tc>
        <w:tc>
          <w:tcPr>
            <w:tcW w:w="504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bottom w:val="single" w:sz="8" w:color="CCEEFF"/>
            </w:tcBorders>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35.00%</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35.00%</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34.00%</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5.15%</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5.14%</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benefits utilized</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8"/>
              </w:rPr>
              <w:t>-21.59%</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8"/>
              </w:rPr>
              <w:t>-236.81%</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8"/>
              </w:rPr>
              <w:t>-94.37%</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losses not benefited</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w w:val="98"/>
              </w:rPr>
              <w:t>-12.25%</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209.43%</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46.90%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Impact of differences in foreign tax rates</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2.05%</w:t>
            </w:r>
          </w:p>
        </w:tc>
        <w:tc>
          <w:tcPr>
            <w:tcW w:w="8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Amortization of stock-based compensation</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-7.67%</w:t>
            </w:r>
          </w:p>
        </w:tc>
        <w:tc>
          <w:tcPr>
            <w:tcW w:w="9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13.27%</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foreign exchange losses</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-0.74%</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16.74%</w:t>
            </w:r>
          </w:p>
        </w:tc>
        <w:tc>
          <w:tcPr>
            <w:tcW w:w="8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Non-deductible meals &amp; entertainment charges</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-1.29%</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14.38%</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2.19%</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items not individually material</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-0.31%</w:t>
            </w: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2.31%</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 for income taxes consisted of the following (in thousands):</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20" w:type="dxa"/>
            <w:vAlign w:val="bottom"/>
            <w:gridSpan w:val="7"/>
          </w:tcPr>
          <w:p>
            <w:pPr>
              <w:ind w:left="6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0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2005</w:t>
            </w: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27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$ 282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State</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27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828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1,316</w:t>
            </w: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780" w:type="dxa"/>
            <w:vAlign w:val="bottom"/>
            <w:vMerge w:val="restart"/>
          </w:tcPr>
          <w:p>
            <w:pPr>
              <w:jc w:val="right"/>
              <w:ind w:right="1810"/>
              <w:spacing w:after="0"/>
              <w:rPr>
                <w:sz w:val="20"/>
                <w:szCs w:val="20"/>
                <w:color w:val="auto"/>
              </w:rPr>
            </w:pPr>
            <w:r>
              <w:rPr>
                <w:rFonts w:ascii="Arial" w:cs="Arial" w:eastAsia="Arial" w:hAnsi="Arial"/>
                <w:sz w:val="18"/>
                <w:szCs w:val="18"/>
                <w:color w:val="auto"/>
              </w:rPr>
              <w:t>87</w:t>
            </w: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0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profit (loss) per share</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Basic net profit (loss) per share is computed using the weighted average number of shares of common stock during the year less unvested common shares subject to repurchase. Diluted net profit per share is computed using the weighted average number of shares of common stock, adjusted for the dilutive effect of potential common stock. Potential common stock, computed using the treasury stock method, includes options and unvested shares subject to repurchase</w:t>
      </w:r>
      <w:r>
        <w:rPr>
          <w:rFonts w:ascii="Arial" w:cs="Arial" w:eastAsia="Arial" w:hAnsi="Arial"/>
          <w:sz w:val="18"/>
          <w:szCs w:val="18"/>
          <w:b w:val="1"/>
          <w:bCs w:val="1"/>
          <w:color w:val="auto"/>
        </w:rPr>
        <w:t>.</w:t>
      </w:r>
    </w:p>
    <w:p>
      <w:pPr>
        <w:spacing w:after="0" w:line="79"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profit (loss) per share attributable to common stock (in thousands, except per share amounts):</w:t>
      </w:r>
    </w:p>
    <w:p>
      <w:pPr>
        <w:spacing w:after="0" w:line="149"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r>
      <w:tr>
        <w:trPr>
          <w:trHeight w:val="129"/>
        </w:trPr>
        <w:tc>
          <w:tcPr>
            <w:tcW w:w="5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1"/>
                <w:szCs w:val="11"/>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6"/>
        </w:trPr>
        <w:tc>
          <w:tcPr>
            <w:tcW w:w="5140" w:type="dxa"/>
            <w:vAlign w:val="bottom"/>
          </w:tcPr>
          <w:p>
            <w:pPr>
              <w:ind w:left="180"/>
              <w:spacing w:after="0"/>
              <w:rPr>
                <w:sz w:val="20"/>
                <w:szCs w:val="20"/>
                <w:color w:val="auto"/>
              </w:rPr>
            </w:pPr>
            <w:r>
              <w:rPr>
                <w:rFonts w:ascii="Arial" w:cs="Arial" w:eastAsia="Arial" w:hAnsi="Arial"/>
                <w:sz w:val="18"/>
                <w:szCs w:val="18"/>
                <w:color w:val="auto"/>
              </w:rPr>
              <w:t>Net profit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(34,963)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1,413</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8,768</w:t>
            </w:r>
          </w:p>
        </w:tc>
        <w:tc>
          <w:tcPr>
            <w:tcW w:w="100" w:type="dxa"/>
            <w:vAlign w:val="bottom"/>
          </w:tcPr>
          <w:p>
            <w:pPr>
              <w:spacing w:after="0"/>
              <w:rPr>
                <w:sz w:val="22"/>
                <w:szCs w:val="22"/>
                <w:color w:val="auto"/>
              </w:rPr>
            </w:pPr>
          </w:p>
        </w:tc>
      </w:tr>
      <w:tr>
        <w:trPr>
          <w:trHeight w:val="278"/>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63,246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61,644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60,036</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Unvested common shares subject to repurchase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50"/>
        </w:trPr>
        <w:tc>
          <w:tcPr>
            <w:tcW w:w="5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shares, basic</w:t>
            </w: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63,246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61,644</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59,963</w:t>
            </w:r>
          </w:p>
        </w:tc>
        <w:tc>
          <w:tcPr>
            <w:tcW w:w="100" w:type="dxa"/>
            <w:vAlign w:val="bottom"/>
            <w:tcBorders>
              <w:bottom w:val="single" w:sz="8" w:color="CCEEFF"/>
            </w:tcBorders>
          </w:tcPr>
          <w:p>
            <w:pPr>
              <w:spacing w:after="0"/>
              <w:rPr>
                <w:sz w:val="21"/>
                <w:szCs w:val="21"/>
                <w:color w:val="auto"/>
              </w:rPr>
            </w:pPr>
          </w:p>
        </w:tc>
      </w:tr>
      <w:tr>
        <w:trPr>
          <w:trHeight w:val="27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Add: Dilutive common stock equivalents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 common shares subject to repurchase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50"/>
        </w:trPr>
        <w:tc>
          <w:tcPr>
            <w:tcW w:w="5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shares, diluted</w:t>
            </w: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63,246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63,152</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64,089</w:t>
            </w:r>
          </w:p>
        </w:tc>
        <w:tc>
          <w:tcPr>
            <w:tcW w:w="100" w:type="dxa"/>
            <w:vAlign w:val="bottom"/>
            <w:tcBorders>
              <w:bottom w:val="single" w:sz="8" w:color="CCEEFF"/>
            </w:tcBorders>
          </w:tcPr>
          <w:p>
            <w:pPr>
              <w:spacing w:after="0"/>
              <w:rPr>
                <w:sz w:val="21"/>
                <w:szCs w:val="21"/>
                <w:color w:val="auto"/>
              </w:rPr>
            </w:pPr>
          </w:p>
        </w:tc>
      </w:tr>
      <w:tr>
        <w:trPr>
          <w:trHeight w:val="264"/>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profit (loss) per share,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2"/>
                <w:szCs w:val="22"/>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64"/>
        </w:trPr>
        <w:tc>
          <w:tcPr>
            <w:tcW w:w="5140" w:type="dxa"/>
            <w:vAlign w:val="bottom"/>
          </w:tcPr>
          <w:p>
            <w:pPr>
              <w:ind w:left="360"/>
              <w:spacing w:after="0"/>
              <w:rPr>
                <w:sz w:val="20"/>
                <w:szCs w:val="20"/>
                <w:color w:val="auto"/>
              </w:rPr>
            </w:pPr>
            <w:r>
              <w:rPr>
                <w:rFonts w:ascii="Arial" w:cs="Arial" w:eastAsia="Arial" w:hAnsi="Arial"/>
                <w:sz w:val="18"/>
                <w:szCs w:val="18"/>
                <w:color w:val="auto"/>
              </w:rPr>
              <w:t>Net profit (loss) per share,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2"/>
                <w:szCs w:val="22"/>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740" w:firstLine="360"/>
        <w:spacing w:after="0" w:line="277" w:lineRule="auto"/>
        <w:rPr>
          <w:sz w:val="20"/>
          <w:szCs w:val="20"/>
          <w:color w:val="auto"/>
        </w:rPr>
      </w:pPr>
      <w:r>
        <w:rPr>
          <w:rFonts w:ascii="Arial" w:cs="Arial" w:eastAsia="Arial" w:hAnsi="Arial"/>
          <w:sz w:val="18"/>
          <w:szCs w:val="18"/>
          <w:color w:val="auto"/>
        </w:rPr>
        <w:t>For the year ended December 31, 2006, 2005 and 2004 stock options and restricted stock units totaling 6.5 million, 6.6 million and 1.3 million, respectively, were excluded from diluted net loss per share because of their anti-dilutive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Supplemental Cash Flow Information</w:t>
      </w:r>
    </w:p>
    <w:p>
      <w:pPr>
        <w:sectPr>
          <w:pgSz w:w="11900" w:h="16838" w:orient="portrait"/>
          <w:cols w:equalWidth="0" w:num="1">
            <w:col w:w="11400"/>
          </w:cols>
          <w:pgMar w:left="240" w:top="125" w:right="259" w:bottom="0" w:gutter="0" w:footer="0" w:header="0"/>
        </w:sectPr>
      </w:pPr>
    </w:p>
    <w:bookmarkStart w:id="50" w:name="page51"/>
    <w:bookmarkEnd w:id="50"/>
    <w:p>
      <w:pPr>
        <w:ind w:left="360"/>
        <w:spacing w:after="0"/>
        <w:rPr>
          <w:sz w:val="20"/>
          <w:szCs w:val="20"/>
          <w:color w:val="auto"/>
        </w:rPr>
      </w:pPr>
      <w:r>
        <w:rPr>
          <w:rFonts w:ascii="Arial" w:cs="Arial" w:eastAsia="Arial" w:hAnsi="Arial"/>
          <w:sz w:val="18"/>
          <w:szCs w:val="18"/>
          <w:color w:val="auto"/>
        </w:rPr>
        <w:t>The supplemental cash flow information consists of the following (in thousands):</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4"/>
              </w:rPr>
              <w:t>Years Ended December 31,</w:t>
            </w:r>
          </w:p>
        </w:tc>
        <w:tc>
          <w:tcPr>
            <w:tcW w:w="0" w:type="dxa"/>
            <w:vAlign w:val="bottom"/>
          </w:tcPr>
          <w:p>
            <w:pPr>
              <w:spacing w:after="0"/>
              <w:rPr>
                <w:sz w:val="1"/>
                <w:szCs w:val="1"/>
                <w:color w:val="auto"/>
              </w:rPr>
            </w:pPr>
          </w:p>
        </w:tc>
      </w:tr>
      <w:tr>
        <w:trPr>
          <w:trHeight w:val="129"/>
        </w:trPr>
        <w:tc>
          <w:tcPr>
            <w:tcW w:w="5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w w:val="89"/>
              </w:rPr>
              <w:t>2005</w:t>
            </w:r>
          </w:p>
        </w:tc>
        <w:tc>
          <w:tcPr>
            <w:tcW w:w="6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paid</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992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Interest paid</w:t>
            </w:r>
          </w:p>
        </w:tc>
        <w:tc>
          <w:tcPr>
            <w:tcW w:w="46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223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190</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40" w:type="dxa"/>
            <w:vAlign w:val="bottom"/>
          </w:tcPr>
          <w:p>
            <w:pPr>
              <w:ind w:left="180"/>
              <w:spacing w:after="0"/>
              <w:rPr>
                <w:sz w:val="20"/>
                <w:szCs w:val="20"/>
                <w:color w:val="auto"/>
              </w:rPr>
            </w:pPr>
            <w:r>
              <w:rPr>
                <w:rFonts w:ascii="Arial" w:cs="Arial" w:eastAsia="Arial" w:hAnsi="Arial"/>
                <w:sz w:val="18"/>
                <w:szCs w:val="18"/>
                <w:color w:val="auto"/>
              </w:rPr>
              <w:t>Fixed assets acquired as exchange</w:t>
            </w:r>
          </w:p>
        </w:tc>
        <w:tc>
          <w:tcPr>
            <w:tcW w:w="1080" w:type="dxa"/>
            <w:vAlign w:val="bottom"/>
            <w:gridSpan w:val="3"/>
          </w:tcPr>
          <w:p>
            <w:pPr>
              <w:jc w:val="center"/>
              <w:ind w:left="13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834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34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Deferred revenue assumed in the GO acquisition</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180"/>
              <w:spacing w:after="0"/>
              <w:rPr>
                <w:sz w:val="20"/>
                <w:szCs w:val="20"/>
                <w:color w:val="auto"/>
              </w:rPr>
            </w:pPr>
            <w:r>
              <w:rPr>
                <w:rFonts w:ascii="Arial" w:cs="Arial" w:eastAsia="Arial" w:hAnsi="Arial"/>
                <w:sz w:val="18"/>
                <w:szCs w:val="18"/>
                <w:color w:val="auto"/>
              </w:rPr>
              <w:t>Accrued liabilities assumed in the GO acquisition</w:t>
            </w:r>
          </w:p>
        </w:tc>
        <w:tc>
          <w:tcPr>
            <w:tcW w:w="46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w w:val="98"/>
              </w:rPr>
              <w:t>Fixed assets acquired with accounts payable or accrued liabilities</w:t>
            </w:r>
          </w:p>
        </w:tc>
        <w:tc>
          <w:tcPr>
            <w:tcW w:w="4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541</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1,112</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180"/>
              <w:spacing w:after="0"/>
              <w:rPr>
                <w:sz w:val="20"/>
                <w:szCs w:val="20"/>
                <w:color w:val="auto"/>
              </w:rPr>
            </w:pPr>
            <w:r>
              <w:rPr>
                <w:rFonts w:ascii="Arial" w:cs="Arial" w:eastAsia="Arial" w:hAnsi="Arial"/>
                <w:sz w:val="18"/>
                <w:szCs w:val="18"/>
                <w:color w:val="auto"/>
              </w:rPr>
              <w:t>Deferred stock-based compensation</w:t>
            </w:r>
          </w:p>
        </w:tc>
        <w:tc>
          <w:tcPr>
            <w:tcW w:w="46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4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 —</w:t>
            </w: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130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372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53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Segments and Geographical Information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Segment</w:t>
      </w:r>
    </w:p>
    <w:p>
      <w:pPr>
        <w:spacing w:after="0" w:line="117"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The Company reports segment data based on the management approach which designates the internal reporting that is used by management for making operating decisions and assessing performance as the source of the Company’s reportable operating segments. During all periods presented, the Company operated as a single business segment.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Geographical Information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revenues and long-lived assets are presented below by geographic area (in thousands):</w:t>
      </w:r>
    </w:p>
    <w:p>
      <w:pPr>
        <w:spacing w:after="0" w:line="203"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10"/>
          </w:tcPr>
          <w:p>
            <w:pPr>
              <w:ind w:left="240"/>
              <w:spacing w:after="0"/>
              <w:rPr>
                <w:sz w:val="20"/>
                <w:szCs w:val="20"/>
                <w:color w:val="auto"/>
              </w:rPr>
            </w:pPr>
            <w:r>
              <w:rPr>
                <w:rFonts w:ascii="Arial" w:cs="Arial" w:eastAsia="Arial" w:hAnsi="Arial"/>
                <w:sz w:val="14"/>
                <w:szCs w:val="14"/>
                <w:b w:val="1"/>
                <w:bCs w:val="1"/>
                <w:color w:val="auto"/>
              </w:rPr>
              <w:t>For the Years Ended December 31,</w:t>
            </w:r>
          </w:p>
        </w:tc>
      </w:tr>
      <w:tr>
        <w:trPr>
          <w:trHeight w:val="129"/>
        </w:trPr>
        <w:tc>
          <w:tcPr>
            <w:tcW w:w="40" w:type="dxa"/>
            <w:vAlign w:val="bottom"/>
            <w:tcBorders>
              <w:bottom w:val="single" w:sz="8" w:color="CCEEFF"/>
            </w:tcBorders>
          </w:tcPr>
          <w:p>
            <w:pPr>
              <w:spacing w:after="0"/>
              <w:rPr>
                <w:sz w:val="11"/>
                <w:szCs w:val="11"/>
                <w:color w:val="auto"/>
              </w:rPr>
            </w:pPr>
          </w:p>
        </w:tc>
        <w:tc>
          <w:tcPr>
            <w:tcW w:w="3280" w:type="dxa"/>
            <w:vAlign w:val="bottom"/>
            <w:tcBorders>
              <w:bottom w:val="single" w:sz="8" w:color="CCEEFF"/>
            </w:tcBorders>
          </w:tcPr>
          <w:p>
            <w:pPr>
              <w:spacing w:after="0"/>
              <w:rPr>
                <w:sz w:val="11"/>
                <w:szCs w:val="11"/>
                <w:color w:val="auto"/>
              </w:rPr>
            </w:pPr>
          </w:p>
        </w:tc>
        <w:tc>
          <w:tcPr>
            <w:tcW w:w="166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gridSpan w:val="2"/>
          </w:tcPr>
          <w:p>
            <w:pPr>
              <w:jc w:val="right"/>
              <w:ind w:right="142"/>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2004</w:t>
            </w:r>
          </w:p>
        </w:tc>
        <w:tc>
          <w:tcPr>
            <w:tcW w:w="6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r>
      <w:tr>
        <w:trPr>
          <w:trHeight w:val="196"/>
        </w:trPr>
        <w:tc>
          <w:tcPr>
            <w:tcW w:w="3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$ 172,635</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$ 182,903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$ 156,837</w:t>
            </w:r>
          </w:p>
        </w:tc>
        <w:tc>
          <w:tcPr>
            <w:tcW w:w="2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28,076</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14,502</w:t>
            </w:r>
          </w:p>
        </w:tc>
        <w:tc>
          <w:tcPr>
            <w:tcW w:w="2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Other International</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5,643</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18"/>
                <w:szCs w:val="18"/>
                <w:color w:val="auto"/>
              </w:rPr>
            </w:pPr>
          </w:p>
        </w:tc>
      </w:tr>
      <w:tr>
        <w:trPr>
          <w:trHeight w:val="210"/>
        </w:trPr>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$ 206,354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$ 207,125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$ 172,830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7"/>
          </w:tcPr>
          <w:p>
            <w:pPr>
              <w:ind w:left="140"/>
              <w:spacing w:after="0"/>
              <w:rPr>
                <w:sz w:val="20"/>
                <w:szCs w:val="20"/>
                <w:color w:val="auto"/>
              </w:rPr>
            </w:pPr>
            <w:r>
              <w:rPr>
                <w:rFonts w:ascii="Arial" w:cs="Arial" w:eastAsia="Arial" w:hAnsi="Arial"/>
                <w:sz w:val="14"/>
                <w:szCs w:val="14"/>
                <w:b w:val="1"/>
                <w:bCs w:val="1"/>
                <w:color w:val="auto"/>
              </w:rPr>
              <w:t>As of December 31,</w:t>
            </w:r>
          </w:p>
        </w:tc>
      </w:tr>
      <w:tr>
        <w:trPr>
          <w:trHeight w:val="129"/>
        </w:trPr>
        <w:tc>
          <w:tcPr>
            <w:tcW w:w="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6"/>
        </w:trPr>
        <w:tc>
          <w:tcPr>
            <w:tcW w:w="4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16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Domestic</w:t>
            </w:r>
          </w:p>
        </w:tc>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$ 40,744</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6"/>
              </w:rPr>
              <w:t>$ 27,281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International</w:t>
            </w:r>
          </w:p>
        </w:tc>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$ 43,468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$ 30,524</w:t>
            </w:r>
          </w:p>
        </w:tc>
        <w:tc>
          <w:tcPr>
            <w:tcW w:w="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On March 7, 2007, the Company renegotiated and amended its existing credit facility with Comerica Bank. The amendment, among other things, reduced financial covenants to require only a quick ratio covenant. Additionally, the amendment also increased the available borrowings under the existing revolving line of credit from $20 million to $25 million effective January 1, 2008. The amended credit facility matures on December 31, 2008 at which point all outstanding borrowing under this credit facility must be repaid.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Based upon that evaluation, our Chief Executive Officer and our Chief Financial Officer have concluded that our disclosure controls and procedures are effective as of December 31, 2006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See “Report of Management on Internal Control over Financial Reporting” on page 53 of this Annual Report on Form 10-K, which is incorporated herein by reference.</w:t>
      </w:r>
    </w:p>
    <w:p>
      <w:pPr>
        <w:sectPr>
          <w:pgSz w:w="11900" w:h="16838" w:orient="portrait"/>
          <w:cols w:equalWidth="0" w:num="1">
            <w:col w:w="11420"/>
          </w:cols>
          <w:pgMar w:left="240" w:top="125" w:right="239" w:bottom="0" w:gutter="0" w:footer="0" w:header="0"/>
        </w:sectPr>
      </w:pPr>
    </w:p>
    <w:bookmarkStart w:id="51" w:name="page52"/>
    <w:bookmarkEnd w:id="51"/>
    <w:p>
      <w:pPr>
        <w:ind w:left="360"/>
        <w:spacing w:after="0"/>
        <w:rPr>
          <w:sz w:val="20"/>
          <w:szCs w:val="20"/>
          <w:color w:val="auto"/>
        </w:rPr>
      </w:pPr>
      <w:r>
        <w:rPr>
          <w:rFonts w:ascii="Arial" w:cs="Arial" w:eastAsia="Arial" w:hAnsi="Arial"/>
          <w:sz w:val="18"/>
          <w:szCs w:val="18"/>
          <w:i w:val="1"/>
          <w:iCs w:val="1"/>
          <w:color w:val="auto"/>
        </w:rPr>
        <w:t>Attestation report of the registered public accounting firm.</w:t>
      </w:r>
    </w:p>
    <w:p>
      <w:pPr>
        <w:spacing w:after="0" w:line="11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See “Report of Independent Registered Public Accounting Firm” on page 54 of this Annual Report on Form 10-K, which is incorporated herein by this reference.</w:t>
      </w:r>
    </w:p>
    <w:p>
      <w:pPr>
        <w:spacing w:after="0" w:line="62" w:lineRule="exact"/>
        <w:rPr>
          <w:sz w:val="20"/>
          <w:szCs w:val="20"/>
          <w:color w:val="auto"/>
        </w:rPr>
      </w:pPr>
    </w:p>
    <w:p>
      <w:pPr>
        <w:ind w:right="360" w:firstLine="360"/>
        <w:spacing w:after="0" w:line="34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have been no changes in our internal control over financial reporting during the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2006 that have materially affected or are reasonably likely to material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Amendment to Credit Agreement</w:t>
      </w:r>
    </w:p>
    <w:p>
      <w:pPr>
        <w:spacing w:after="0" w:line="117"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On March 7, 2007, we entered into an Amendment to Credit Agreement with Comerica Bank (the “Credit Amendment”) to the Amended and Restated Loan and Security Agreement dated as of December 16, 2005, as amended (the “Credit Facility”). The Credit Amendment amends the Credit Facility to:</w:t>
      </w:r>
    </w:p>
    <w:p>
      <w:pPr>
        <w:spacing w:after="0" w:line="16" w:lineRule="exact"/>
        <w:rPr>
          <w:sz w:val="20"/>
          <w:szCs w:val="20"/>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extend the maturity date of the Credit Facility from December 16, 2007 to December 31, 2008;</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automatically increase the aggregate principal amount of the Credit Facility from $20 million to $25 million on January 1, 2008;</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the financial statement reports from a monthly obligation to quarterly;</w:t>
      </w:r>
    </w:p>
    <w:p>
      <w:pPr>
        <w:spacing w:after="0" w:line="117" w:lineRule="exact"/>
        <w:rPr>
          <w:rFonts w:ascii="Arial" w:cs="Arial" w:eastAsia="Arial" w:hAnsi="Arial"/>
          <w:sz w:val="18"/>
          <w:szCs w:val="18"/>
          <w:color w:val="auto"/>
        </w:rPr>
      </w:pPr>
    </w:p>
    <w:p>
      <w:pPr>
        <w:ind w:left="540" w:hanging="17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 the financial covenants to delete all financial covenants other that the quick ratio and amending such ratio from 1.75 to 1.00 (excluding deferred revenue) to 1.25 to 1.00 (excluding deferred revenue);</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 in the definition of “permitted transfers” transfers related to the Costa Rica tax restructuring;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40" w:hanging="17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 the definition of “permitted indebtedness” by increasing the amount of permitted indebtedness of a subsidiary to the Company from 5% to 10% and including a carve out for Costa Rica tax restructuring;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raise the cross-default amount from $2 million to $5 million.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copy of the Amendment is attached hereto as Exhibit 10.8A.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Amendment to Form of RSU Agreement</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On March 8, 2007, Align and Thomas M. Prescott entered into an amendment to each of the award agreements evidencing grants of restricted stock units awarded to Mr. Prescott on February 24, 2006 and February 20, 2007. The amendment served to make restricted stock unit acceleration terms in the original restrict stock unit awards consistent with the option acceleration terms included in Mr. Prescott’s amended and restated employment agreement dated as of April 19, 2005. Specifically, the amendment deletes the term that accelerated the vesting of the restricted stock units upon termination of Mr. Prescott’s employment for cause or good reason and amends the term related to acceleration of vesting upon a change of control to provide that all of Mr. Prescott’s restricted stock units will immediately vest upon the occurrence of such an event. The form of amendment is attached hereto as Exhibit 10.14D and should be reviewed for additional information.</w:t>
      </w:r>
    </w:p>
    <w:p>
      <w:pPr>
        <w:spacing w:after="0" w:line="81" w:lineRule="exact"/>
        <w:rPr>
          <w:sz w:val="20"/>
          <w:szCs w:val="20"/>
          <w:color w:val="auto"/>
        </w:rPr>
      </w:pPr>
    </w:p>
    <w:p>
      <w:pPr>
        <w:ind w:right="760" w:firstLine="360"/>
        <w:spacing w:after="0" w:line="277" w:lineRule="auto"/>
        <w:rPr>
          <w:sz w:val="20"/>
          <w:szCs w:val="20"/>
          <w:color w:val="auto"/>
        </w:rPr>
      </w:pPr>
      <w:r>
        <w:rPr>
          <w:rFonts w:ascii="Arial" w:cs="Arial" w:eastAsia="Arial" w:hAnsi="Arial"/>
          <w:sz w:val="18"/>
          <w:szCs w:val="18"/>
          <w:color w:val="auto"/>
        </w:rPr>
        <w:t>Our Compensation Committee also adopted a form of Restricted Stock Unit Award Agreement attached hereto as Exhibit 10.14C to be used in connection with any future grants of restricted stock units awarded to Mr. Prescott.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Amendment to 2005 Incentive Plan</w:t>
      </w:r>
    </w:p>
    <w:p>
      <w:pPr>
        <w:spacing w:after="0" w:line="117"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On March 7, 2007, our Board of Directors approved an amendment to the Align Technology, Inc. 2005 Incentive Plan (the “Plan Amendment”). The Plan Amendment amends Section 15 of the 2005 Incentive Plan by:</w:t>
      </w:r>
    </w:p>
    <w:p>
      <w:pPr>
        <w:spacing w:after="0" w:line="62" w:lineRule="exact"/>
        <w:rPr>
          <w:sz w:val="20"/>
          <w:szCs w:val="20"/>
          <w:color w:val="auto"/>
        </w:rPr>
      </w:pPr>
    </w:p>
    <w:p>
      <w:pPr>
        <w:ind w:left="540" w:right="20" w:hanging="17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number of options to purchase shares of common stock granted to a new outside director on the date such person first becomes a member of the Board from 75,000 shares to 30,000 shares;</w:t>
      </w:r>
    </w:p>
    <w:p>
      <w:pPr>
        <w:spacing w:after="0" w:line="62" w:lineRule="exact"/>
        <w:rPr>
          <w:rFonts w:ascii="Arial" w:cs="Arial" w:eastAsia="Arial" w:hAnsi="Arial"/>
          <w:sz w:val="18"/>
          <w:szCs w:val="18"/>
          <w:color w:val="auto"/>
        </w:rPr>
      </w:pPr>
    </w:p>
    <w:p>
      <w:pPr>
        <w:jc w:val="both"/>
        <w:ind w:left="540" w:right="460" w:hanging="172"/>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increasing the annual equity awards automatically granted to each continuing director (other than the Chairman of the Board) on the date of each annual meeting of our stockholders from an option to purchase 8,000 shares to (A) an option to purchase 10,000 shares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a grant of 3,000 restricted stock units (the “Second Awards”); and</w:t>
      </w:r>
    </w:p>
    <w:p>
      <w:pPr>
        <w:spacing w:after="0" w:line="73" w:lineRule="exact"/>
        <w:rPr>
          <w:rFonts w:ascii="Arial" w:cs="Arial" w:eastAsia="Arial" w:hAnsi="Arial"/>
          <w:sz w:val="18"/>
          <w:szCs w:val="18"/>
          <w:color w:val="auto"/>
        </w:rPr>
      </w:pPr>
    </w:p>
    <w:p>
      <w:pPr>
        <w:ind w:left="540" w:right="580" w:hanging="17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clarifying that the Second Awards shall vest on the earlier of (i) the one year anniversary of the date of grant and (ii) the date of the next annual meeting of the Company’s stockholders following the date of grant; and</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copy of the Plan Amendment is attached hereto as Exhibit 10.14.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Certain information required by Part III is omitted from this Form 10-K because we intend to file a definitive Proxy Statement for our 2007 Annual Meeting of Stockholders (the “Proxy Statement”) not later than 120 days after the end of the fiscal year covered by this Annual Report on Form 10-K, and certain information to be included therein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The information required by this Item concerning our directors is incorporated by reference to the Proxy Statement under the section captioned “Election of Directors.” The information required by this Item concerning our executive officers is set forth in Part I, Item 1—“Business” of this Annual Report on Form 10-K. The information required by this item concerning compliance with Section 16(a) of the Exchange Act is incorporated by reference to the section entitled “Section 16(a) Beneficial Ownership Reporting Compliance” contained in the Proxy Statement.</w:t>
      </w:r>
    </w:p>
    <w:p>
      <w:pPr>
        <w:sectPr>
          <w:pgSz w:w="11900" w:h="16838" w:orient="portrait"/>
          <w:cols w:equalWidth="0" w:num="1">
            <w:col w:w="11400"/>
          </w:cols>
          <w:pgMar w:left="240" w:top="125" w:right="259" w:bottom="0" w:gutter="0" w:footer="0" w:header="0"/>
        </w:sectPr>
      </w:pPr>
    </w:p>
    <w:bookmarkStart w:id="52" w:name="page53"/>
    <w:bookmarkEnd w:id="52"/>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300" w:firstLine="360"/>
        <w:spacing w:after="0" w:line="286" w:lineRule="auto"/>
        <w:rPr>
          <w:sz w:val="20"/>
          <w:szCs w:val="20"/>
          <w:color w:val="auto"/>
        </w:rPr>
      </w:pPr>
      <w:r>
        <w:rPr>
          <w:rFonts w:ascii="Arial" w:cs="Arial" w:eastAsia="Arial" w:hAnsi="Arial"/>
          <w:sz w:val="17"/>
          <w:szCs w:val="17"/>
          <w:color w:val="auto"/>
        </w:rPr>
        <w:t>We have a code of ethics that applies to all of our employees, including our principal executive officer, principal financial officer and principal accounting officer. This code of ethics is posted on our Internet website. The Internet address for our website is http://www.aligntech.com, and the code of ethics may be found on the “Corporate Governance” section of our “Investor Relations” webpage.</w:t>
      </w:r>
    </w:p>
    <w:p>
      <w:pPr>
        <w:spacing w:after="0" w:line="57" w:lineRule="exact"/>
        <w:rPr>
          <w:sz w:val="20"/>
          <w:szCs w:val="20"/>
          <w:color w:val="auto"/>
        </w:rPr>
      </w:pPr>
    </w:p>
    <w:p>
      <w:pPr>
        <w:jc w:val="both"/>
        <w:ind w:right="360" w:firstLine="360"/>
        <w:spacing w:after="0" w:line="342" w:lineRule="auto"/>
        <w:rPr>
          <w:sz w:val="20"/>
          <w:szCs w:val="20"/>
          <w:color w:val="auto"/>
        </w:rPr>
      </w:pPr>
      <w:r>
        <w:rPr>
          <w:rFonts w:ascii="Arial" w:cs="Arial" w:eastAsia="Arial" w:hAnsi="Arial"/>
          <w:sz w:val="16"/>
          <w:szCs w:val="16"/>
          <w:color w:val="auto"/>
        </w:rPr>
        <w:t>We intend to satisfy the disclosure requirement under Item 5.05 of Form 8-K regarding an amendment to, or waiver from, a provision of this code of ethics by posting such information on our website, at the address and location specified above, or as otherwise required by the NASDAQ Global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information required by this Item is incorporated by reference to the Proxy Statement under the section captioned “Executive Compensation.”</w:t>
      </w:r>
    </w:p>
    <w:p>
      <w:pPr>
        <w:spacing w:after="0" w:line="233" w:lineRule="exact"/>
        <w:rPr>
          <w:sz w:val="20"/>
          <w:szCs w:val="20"/>
          <w:color w:val="auto"/>
        </w:rPr>
      </w:pPr>
    </w:p>
    <w:p>
      <w:pPr>
        <w:ind w:left="860" w:right="660" w:hanging="845"/>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Proxy Statement under the sections captioned “Security Ownership of Certain Beneficial Owners and Management” and “Equity Compensation Plan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90" w:lineRule="exact"/>
        <w:rPr>
          <w:sz w:val="20"/>
          <w:szCs w:val="20"/>
          <w:color w:val="auto"/>
        </w:rPr>
      </w:pPr>
    </w:p>
    <w:p>
      <w:pPr>
        <w:ind w:right="160" w:firstLine="360"/>
        <w:spacing w:after="0" w:line="276" w:lineRule="auto"/>
        <w:rPr>
          <w:sz w:val="20"/>
          <w:szCs w:val="20"/>
          <w:color w:val="auto"/>
        </w:rPr>
      </w:pPr>
      <w:r>
        <w:rPr>
          <w:rFonts w:ascii="Arial" w:cs="Arial" w:eastAsia="Arial" w:hAnsi="Arial"/>
          <w:sz w:val="16"/>
          <w:szCs w:val="16"/>
          <w:color w:val="auto"/>
        </w:rPr>
        <w:t>The following table provides information as of December 31, 2006 about our common stock that may be issued upon the exercise of options and rights granted to employees, consultants or members of our Board of Directors under all existing equity compensation plans, including the 1997 Equity Incentive Plan, the Employee Stock Purchase Plan, the 2001 Stock Incentive Plan and the 2005 Incentive Plan, each as amended, and certain individual arrangements.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4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9"/>
              </w:rPr>
              <w:t>securities to be</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4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7"/>
              </w:rPr>
              <w:t>issued upon</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4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7"/>
              </w:rPr>
              <w:t>exercise of</w:t>
            </w:r>
          </w:p>
        </w:tc>
        <w:tc>
          <w:tcPr>
            <w:tcW w:w="2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24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4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9"/>
              </w:rPr>
              <w:t>outstanding</w:t>
            </w:r>
          </w:p>
        </w:tc>
        <w:tc>
          <w:tcPr>
            <w:tcW w:w="2020" w:type="dxa"/>
            <w:vAlign w:val="bottom"/>
            <w:gridSpan w:val="3"/>
            <w:vMerge w:val="continue"/>
          </w:tcPr>
          <w:p>
            <w:pPr>
              <w:spacing w:after="0"/>
              <w:rPr>
                <w:sz w:val="11"/>
                <w:szCs w:val="11"/>
                <w:color w:val="auto"/>
              </w:rPr>
            </w:pPr>
          </w:p>
        </w:tc>
        <w:tc>
          <w:tcPr>
            <w:tcW w:w="24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4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90"/>
              </w:rPr>
              <w:t>options and</w:t>
            </w:r>
          </w:p>
        </w:tc>
        <w:tc>
          <w:tcPr>
            <w:tcW w:w="202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24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Plan Category</w:t>
            </w:r>
          </w:p>
        </w:tc>
        <w:tc>
          <w:tcPr>
            <w:tcW w:w="1800" w:type="dxa"/>
            <w:vAlign w:val="bottom"/>
            <w:vMerge w:val="restart"/>
          </w:tcPr>
          <w:p>
            <w:pPr>
              <w:spacing w:after="0"/>
              <w:rPr>
                <w:sz w:val="11"/>
                <w:szCs w:val="11"/>
                <w:color w:val="auto"/>
              </w:rPr>
            </w:pPr>
          </w:p>
        </w:tc>
        <w:tc>
          <w:tcPr>
            <w:tcW w:w="244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90"/>
              </w:rPr>
              <w:t>restricted stock</w:t>
            </w:r>
          </w:p>
        </w:tc>
        <w:tc>
          <w:tcPr>
            <w:tcW w:w="202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24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2"/>
        </w:trPr>
        <w:tc>
          <w:tcPr>
            <w:tcW w:w="15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800" w:type="dxa"/>
            <w:vAlign w:val="bottom"/>
            <w:tcBorders>
              <w:bottom w:val="single" w:sz="8" w:color="CCEEFF"/>
            </w:tcBorders>
            <w:vMerge w:val="continue"/>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units(a)</w:t>
            </w:r>
          </w:p>
        </w:tc>
        <w:tc>
          <w:tcPr>
            <w:tcW w:w="6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54"/>
              <w:spacing w:after="0"/>
              <w:rPr>
                <w:sz w:val="20"/>
                <w:szCs w:val="20"/>
                <w:color w:val="auto"/>
              </w:rPr>
            </w:pPr>
            <w:r>
              <w:rPr>
                <w:rFonts w:ascii="Arial" w:cs="Arial" w:eastAsia="Arial" w:hAnsi="Arial"/>
                <w:sz w:val="14"/>
                <w:szCs w:val="14"/>
                <w:b w:val="1"/>
                <w:bCs w:val="1"/>
                <w:color w:val="auto"/>
                <w:w w:val="89"/>
              </w:rPr>
              <w:t>(b)</w:t>
            </w:r>
          </w:p>
        </w:tc>
        <w:tc>
          <w:tcPr>
            <w:tcW w:w="280" w:type="dxa"/>
            <w:vAlign w:val="bottom"/>
            <w:tcBorders>
              <w:bottom w:val="single" w:sz="8" w:color="CCEEFF"/>
            </w:tcBorders>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column(a))</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8"/>
              </w:rPr>
              <w:t>Equity compensation</w:t>
            </w:r>
          </w:p>
        </w:tc>
        <w:tc>
          <w:tcPr>
            <w:tcW w:w="3060" w:type="dxa"/>
            <w:vAlign w:val="bottom"/>
            <w:gridSpan w:val="3"/>
            <w:shd w:val="clear" w:color="auto" w:fill="CCEEFF"/>
          </w:tcPr>
          <w:p>
            <w:pPr>
              <w:ind w:left="80"/>
              <w:spacing w:after="0" w:line="182" w:lineRule="exact"/>
              <w:rPr>
                <w:sz w:val="20"/>
                <w:szCs w:val="20"/>
                <w:color w:val="auto"/>
              </w:rPr>
            </w:pPr>
            <w:r>
              <w:rPr>
                <w:rFonts w:ascii="Arial" w:cs="Arial" w:eastAsia="Arial" w:hAnsi="Arial"/>
                <w:sz w:val="18"/>
                <w:szCs w:val="18"/>
                <w:color w:val="auto"/>
              </w:rPr>
              <w:t>plans approved by security holders</w:t>
            </w:r>
          </w:p>
        </w:tc>
        <w:tc>
          <w:tcPr>
            <w:tcW w:w="1780" w:type="dxa"/>
            <w:vAlign w:val="bottom"/>
            <w:shd w:val="clear" w:color="auto" w:fill="CCEEFF"/>
          </w:tcPr>
          <w:p>
            <w:pPr>
              <w:jc w:val="right"/>
              <w:ind w:right="163"/>
              <w:spacing w:after="0" w:line="182" w:lineRule="exact"/>
              <w:rPr>
                <w:sz w:val="20"/>
                <w:szCs w:val="20"/>
                <w:color w:val="auto"/>
              </w:rPr>
            </w:pPr>
            <w:r>
              <w:rPr>
                <w:rFonts w:ascii="Arial" w:cs="Arial" w:eastAsia="Arial" w:hAnsi="Arial"/>
                <w:sz w:val="18"/>
                <w:szCs w:val="18"/>
                <w:color w:val="auto"/>
              </w:rPr>
              <w:t>9,597,145(1)(2)</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94"/>
              <w:spacing w:after="0" w:line="182" w:lineRule="exact"/>
              <w:rPr>
                <w:sz w:val="20"/>
                <w:szCs w:val="20"/>
                <w:color w:val="auto"/>
              </w:rPr>
            </w:pPr>
            <w:r>
              <w:rPr>
                <w:rFonts w:ascii="Arial" w:cs="Arial" w:eastAsia="Arial" w:hAnsi="Arial"/>
                <w:sz w:val="18"/>
                <w:szCs w:val="18"/>
                <w:color w:val="auto"/>
              </w:rPr>
              <w:t>8.86</w:t>
            </w:r>
          </w:p>
        </w:tc>
        <w:tc>
          <w:tcPr>
            <w:tcW w:w="280" w:type="dxa"/>
            <w:vAlign w:val="bottom"/>
            <w:shd w:val="clear" w:color="auto" w:fill="CCEEFF"/>
          </w:tcPr>
          <w:p>
            <w:pPr>
              <w:spacing w:after="0"/>
              <w:rPr>
                <w:sz w:val="15"/>
                <w:szCs w:val="15"/>
                <w:color w:val="auto"/>
              </w:rPr>
            </w:pPr>
          </w:p>
        </w:tc>
        <w:tc>
          <w:tcPr>
            <w:tcW w:w="2320" w:type="dxa"/>
            <w:vAlign w:val="bottom"/>
            <w:shd w:val="clear" w:color="auto" w:fill="CCEEFF"/>
          </w:tcPr>
          <w:p>
            <w:pPr>
              <w:jc w:val="right"/>
              <w:ind w:right="302"/>
              <w:spacing w:after="0" w:line="182" w:lineRule="exact"/>
              <w:rPr>
                <w:sz w:val="20"/>
                <w:szCs w:val="20"/>
                <w:color w:val="auto"/>
              </w:rPr>
            </w:pPr>
            <w:r>
              <w:rPr>
                <w:rFonts w:ascii="Arial" w:cs="Arial" w:eastAsia="Arial" w:hAnsi="Arial"/>
                <w:sz w:val="18"/>
                <w:szCs w:val="18"/>
                <w:color w:val="auto"/>
              </w:rPr>
              <w:t>15,176,894(3)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560" w:type="dxa"/>
            <w:vAlign w:val="bottom"/>
            <w:gridSpan w:val="4"/>
          </w:tcPr>
          <w:p>
            <w:pPr>
              <w:spacing w:after="0" w:line="161" w:lineRule="exact"/>
              <w:rPr>
                <w:sz w:val="20"/>
                <w:szCs w:val="20"/>
                <w:color w:val="auto"/>
              </w:rPr>
            </w:pPr>
            <w:r>
              <w:rPr>
                <w:rFonts w:ascii="Arial" w:cs="Arial" w:eastAsia="Arial" w:hAnsi="Arial"/>
                <w:sz w:val="18"/>
                <w:szCs w:val="18"/>
                <w:color w:val="auto"/>
              </w:rPr>
              <w:t>Equity compensation plans not approved by security</w:t>
            </w:r>
          </w:p>
        </w:tc>
        <w:tc>
          <w:tcPr>
            <w:tcW w:w="1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560" w:type="dxa"/>
            <w:vAlign w:val="bottom"/>
            <w:gridSpan w:val="4"/>
          </w:tcPr>
          <w:p>
            <w:pPr>
              <w:ind w:left="180"/>
              <w:spacing w:after="0"/>
              <w:rPr>
                <w:sz w:val="20"/>
                <w:szCs w:val="20"/>
                <w:color w:val="auto"/>
              </w:rPr>
            </w:pPr>
            <w:r>
              <w:rPr>
                <w:rFonts w:ascii="Arial" w:cs="Arial" w:eastAsia="Arial" w:hAnsi="Arial"/>
                <w:sz w:val="18"/>
                <w:szCs w:val="18"/>
                <w:color w:val="auto"/>
              </w:rPr>
              <w:t>holders</w:t>
            </w:r>
          </w:p>
        </w:tc>
        <w:tc>
          <w:tcPr>
            <w:tcW w:w="2440" w:type="dxa"/>
            <w:vAlign w:val="bottom"/>
            <w:gridSpan w:val="2"/>
          </w:tcPr>
          <w:p>
            <w:pPr>
              <w:jc w:val="right"/>
              <w:ind w:right="13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5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jc w:val="right"/>
              <w:ind w:right="603"/>
              <w:spacing w:after="0" w:line="189" w:lineRule="exact"/>
              <w:rPr>
                <w:sz w:val="20"/>
                <w:szCs w:val="20"/>
                <w:color w:val="auto"/>
              </w:rPr>
            </w:pPr>
            <w:r>
              <w:rPr>
                <w:rFonts w:ascii="Arial" w:cs="Arial" w:eastAsia="Arial" w:hAnsi="Arial"/>
                <w:sz w:val="18"/>
                <w:szCs w:val="18"/>
                <w:color w:val="auto"/>
              </w:rPr>
              <w:t>9,597,145</w:t>
            </w: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94"/>
              <w:spacing w:after="0" w:line="189" w:lineRule="exact"/>
              <w:rPr>
                <w:sz w:val="20"/>
                <w:szCs w:val="20"/>
                <w:color w:val="auto"/>
              </w:rPr>
            </w:pPr>
            <w:r>
              <w:rPr>
                <w:rFonts w:ascii="Arial" w:cs="Arial" w:eastAsia="Arial" w:hAnsi="Arial"/>
                <w:sz w:val="18"/>
                <w:szCs w:val="18"/>
                <w:color w:val="auto"/>
              </w:rPr>
              <w:t>8.86</w:t>
            </w:r>
          </w:p>
        </w:tc>
        <w:tc>
          <w:tcPr>
            <w:tcW w:w="280" w:type="dxa"/>
            <w:vAlign w:val="bottom"/>
            <w:shd w:val="clear" w:color="auto" w:fill="CCEEFF"/>
          </w:tcPr>
          <w:p>
            <w:pPr>
              <w:spacing w:after="0"/>
              <w:rPr>
                <w:sz w:val="16"/>
                <w:szCs w:val="16"/>
                <w:color w:val="auto"/>
              </w:rPr>
            </w:pPr>
          </w:p>
        </w:tc>
        <w:tc>
          <w:tcPr>
            <w:tcW w:w="2320" w:type="dxa"/>
            <w:vAlign w:val="bottom"/>
            <w:shd w:val="clear" w:color="auto" w:fill="CCEEFF"/>
          </w:tcPr>
          <w:p>
            <w:pPr>
              <w:jc w:val="right"/>
              <w:ind w:right="522"/>
              <w:spacing w:after="0" w:line="189" w:lineRule="exact"/>
              <w:rPr>
                <w:sz w:val="20"/>
                <w:szCs w:val="20"/>
                <w:color w:val="auto"/>
              </w:rPr>
            </w:pPr>
            <w:r>
              <w:rPr>
                <w:rFonts w:ascii="Arial" w:cs="Arial" w:eastAsia="Arial" w:hAnsi="Arial"/>
                <w:sz w:val="18"/>
                <w:szCs w:val="18"/>
                <w:color w:val="auto"/>
              </w:rPr>
              <w:t>15,176,894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5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right="120" w:hanging="352"/>
        <w:spacing w:after="0" w:line="274" w:lineRule="auto"/>
        <w:tabs>
          <w:tab w:leader="none" w:pos="3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number reflects the number of securities to be issued upon exercise of outstanding options and restricted stock units under the 2005 Incentive Plan, the 2001 Stock Incentive Plan and the 1997 Equity Incentive Plan.</w:t>
      </w:r>
    </w:p>
    <w:p>
      <w:pPr>
        <w:ind w:left="360" w:right="120" w:hanging="352"/>
        <w:spacing w:after="0" w:line="274" w:lineRule="auto"/>
        <w:tabs>
          <w:tab w:leader="none" w:pos="3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unable to ascertain with specificity the number of securities to be issued upon exercise of outstanding rights under the Employee Stock Purchase Plan or the weighted average exercise price of outstanding rights under the Employee Stock Purchase Plan.</w:t>
      </w:r>
    </w:p>
    <w:p>
      <w:pPr>
        <w:ind w:left="360" w:right="100" w:hanging="352"/>
        <w:spacing w:after="0" w:line="239" w:lineRule="auto"/>
        <w:tabs>
          <w:tab w:leader="none" w:pos="34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number reflects securities available for future issuance under the 2005 Stock Incentive Plan and the Employee Stock Purchase Plan. In January 2001, all outstanding options under the 1997 Equity Incentive Plan were subsumed under the 2001 Stock Incentive Plan. Since that date no options have been granted under the 1997 Equity Incentive Plan. In May 2005, stockholder approval was obtained for the 2005 Incentive Plan and the 2001 Stock Incentive Plan was terminated. Since that date, no further options have been granted under the 2001 Stock Incentive Plan. The 2005 Incentive Plan has 9,983,379 shares of common stock reserved for issuance, plus up to an aggregate of 5,000,000 shares that are or would have been returned to the 2001 Stock Incentive Plan as a result of termination of outstanding options or repurchase of shares granted under the 2001 Stock Incentive Plan after March 28, 2005. As of December 31, 2006 2,084,687 shares have been transferred to the 2005 Incentive Plan. As of December 31, 2006, the number of shares available for future issuance under the 2005 Incentive Plan was 7,904,504. Any grants of restricted stock units will reduce shares available for grant at a 2:1 ratio. The Employee Stock Purchase Plan provides that the number of shares of our common stock reserved for issuance thereunder will automatically increase on the first trading day of January in each calendar year by an amount equal to three percent (3%) of the total number of shares of common stock outstanding on the last trading day in December of the immediately preceding calendar year, with this annual increase not to exceed 1,500,000 shares. As of December 31, 2006, the total number of shares of our common stock available for future issuance under the Employee Stock Purchase Plan was 7,272,388.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5" w:lineRule="exact"/>
        <w:rPr>
          <w:sz w:val="20"/>
          <w:szCs w:val="20"/>
          <w:color w:val="auto"/>
        </w:rPr>
      </w:pPr>
    </w:p>
    <w:p>
      <w:pPr>
        <w:ind w:right="500" w:firstLine="360"/>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Proxy Statement under the sections captioned “Certain Relationships and Related Transactions.” and “Director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ind w:right="200" w:firstLine="360"/>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Proxy Statement under the section captioned “Ratification of Appointment of Independent Registered Public Accounting Firm.”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w:t>
      </w:r>
    </w:p>
    <w:p>
      <w:pPr>
        <w:spacing w:after="0" w:line="117" w:lineRule="exact"/>
        <w:rPr>
          <w:sz w:val="20"/>
          <w:szCs w:val="20"/>
          <w:color w:val="auto"/>
        </w:rPr>
      </w:pPr>
    </w:p>
    <w:p>
      <w:pPr>
        <w:ind w:left="1880" w:hanging="312"/>
        <w:spacing w:after="0"/>
        <w:tabs>
          <w:tab w:leader="none" w:pos="1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00"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4220" w:type="dxa"/>
            <w:vAlign w:val="bottom"/>
            <w:tcBorders>
              <w:bottom w:val="single" w:sz="8" w:color="0000EE"/>
            </w:tcBorders>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Report of Independent Registered Public Accounting Firm</w:t>
              </w:r>
            </w:hyperlink>
          </w:p>
        </w:tc>
        <w:tc>
          <w:tcPr>
            <w:tcW w:w="3740" w:type="dxa"/>
            <w:vAlign w:val="bottom"/>
          </w:tcPr>
          <w:p>
            <w:pPr>
              <w:jc w:val="right"/>
              <w:spacing w:after="0"/>
              <w:rPr>
                <w:sz w:val="20"/>
                <w:szCs w:val="20"/>
                <w:color w:val="auto"/>
              </w:rPr>
            </w:pPr>
            <w:r>
              <w:rPr>
                <w:rFonts w:ascii="Arial" w:cs="Arial" w:eastAsia="Arial" w:hAnsi="Arial"/>
                <w:sz w:val="18"/>
                <w:szCs w:val="18"/>
                <w:color w:val="auto"/>
              </w:rPr>
              <w:t>60</w:t>
            </w:r>
          </w:p>
        </w:tc>
      </w:tr>
    </w:tbl>
    <w:p>
      <w:pPr>
        <w:sectPr>
          <w:pgSz w:w="11900" w:h="16857" w:orient="portrait"/>
          <w:cols w:equalWidth="0" w:num="1">
            <w:col w:w="11420"/>
          </w:cols>
          <w:pgMar w:left="240" w:top="121" w:right="239" w:bottom="0" w:gutter="0" w:footer="0" w:header="0"/>
        </w:sectPr>
      </w:pPr>
    </w:p>
    <w:bookmarkStart w:id="53" w:name="page54"/>
    <w:bookmarkEnd w:id="53"/>
    <w:p>
      <w:pPr>
        <w:ind w:left="1880" w:right="1600"/>
        <w:spacing w:after="0" w:line="277"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Consolidated Statements of Operations for the years ended December 31, 2006, 2005</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and 2004</w:t>
        </w:r>
      </w:hyperlink>
    </w:p>
    <w:p>
      <w:pPr>
        <w:spacing w:after="0" w:line="62" w:lineRule="exact"/>
        <w:rPr>
          <w:sz w:val="20"/>
          <w:szCs w:val="20"/>
          <w:color w:val="auto"/>
        </w:rPr>
      </w:pPr>
    </w:p>
    <w:p>
      <w:pPr>
        <w:ind w:left="18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Consolidated Balance Sheets as of December 31, 2006 and 2005</w:t>
        </w:r>
      </w:hyperlink>
    </w:p>
    <w:p>
      <w:pPr>
        <w:spacing w:after="0" w:line="117" w:lineRule="exact"/>
        <w:rPr>
          <w:sz w:val="20"/>
          <w:szCs w:val="20"/>
          <w:color w:val="auto"/>
        </w:rPr>
      </w:pPr>
    </w:p>
    <w:p>
      <w:pPr>
        <w:ind w:left="1880" w:right="200"/>
        <w:spacing w:after="0" w:line="277" w:lineRule="auto"/>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Consolidated Statements of Stockholders’ Equity (Deficit) for the years ended December 31, 2006, 2005</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and 2004</w:t>
        </w:r>
      </w:hyperlink>
    </w:p>
    <w:p>
      <w:pPr>
        <w:spacing w:after="0" w:line="62" w:lineRule="exact"/>
        <w:rPr>
          <w:sz w:val="20"/>
          <w:szCs w:val="20"/>
          <w:color w:val="auto"/>
        </w:rPr>
      </w:pPr>
    </w:p>
    <w:p>
      <w:pPr>
        <w:ind w:left="1880" w:right="1540"/>
        <w:spacing w:after="0" w:line="277" w:lineRule="auto"/>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Consolidated Statements of Cash Flows for the years ended December 31, 2006, 2005</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and 2004</w:t>
        </w:r>
      </w:hyperlink>
    </w:p>
    <w:p>
      <w:pPr>
        <w:spacing w:after="0" w:line="62" w:lineRule="exact"/>
        <w:rPr>
          <w:sz w:val="20"/>
          <w:szCs w:val="20"/>
          <w:color w:val="auto"/>
        </w:rPr>
      </w:pPr>
    </w:p>
    <w:p>
      <w:pPr>
        <w:ind w:left="18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Notes to Consolidated Financial Statements</w:t>
        </w:r>
      </w:hyperlink>
    </w:p>
    <w:p>
      <w:pPr>
        <w:spacing w:after="0" w:line="117" w:lineRule="exact"/>
        <w:rPr>
          <w:sz w:val="20"/>
          <w:szCs w:val="20"/>
          <w:color w:val="auto"/>
        </w:rPr>
      </w:pPr>
    </w:p>
    <w:p>
      <w:pPr>
        <w:ind w:left="1880" w:right="840" w:hanging="312"/>
        <w:spacing w:after="0" w:line="402" w:lineRule="auto"/>
        <w:tabs>
          <w:tab w:leader="none" w:pos="1880" w:val="left"/>
        </w:tabs>
        <w:numPr>
          <w:ilvl w:val="0"/>
          <w:numId w:val="37"/>
        </w:numPr>
        <w:rPr>
          <w:rFonts w:ascii="Arial" w:cs="Arial" w:eastAsia="Arial" w:hAnsi="Arial"/>
          <w:sz w:val="18"/>
          <w:szCs w:val="18"/>
          <w:u w:val="single" w:color="auto"/>
          <w:color w:val="0000EE"/>
        </w:rPr>
      </w:pPr>
      <w:r>
        <w:rPr>
          <w:rFonts w:ascii="Arial" w:cs="Arial" w:eastAsia="Arial" w:hAnsi="Arial"/>
          <w:sz w:val="18"/>
          <w:szCs w:val="18"/>
          <w:color w:val="auto"/>
        </w:rPr>
        <w:t xml:space="preserve">The following financial statement schedule is filed as part of this Annual Report on Form 10-K: </w:t>
      </w:r>
      <w:hyperlink w:anchor="page54">
        <w:r>
          <w:rPr>
            <w:rFonts w:ascii="Arial" w:cs="Arial" w:eastAsia="Arial" w:hAnsi="Arial"/>
            <w:sz w:val="18"/>
            <w:szCs w:val="18"/>
            <w:u w:val="single" w:color="auto"/>
            <w:color w:val="0000EE"/>
          </w:rPr>
          <w:t>Schedule II—Valuation and Qualifying Accounts and Reserves</w:t>
        </w:r>
      </w:hyperlink>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All other schedules have been omitted as they are not required, not applicable, or the required information is otherwise included.</w:t>
      </w: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2005" w:lineRule="exact"/>
        <w:rPr>
          <w:sz w:val="20"/>
          <w:szCs w:val="20"/>
          <w:color w:val="auto"/>
        </w:rPr>
      </w:pPr>
    </w:p>
    <w:p>
      <w:pPr>
        <w:sectPr>
          <w:pgSz w:w="11900" w:h="16838" w:orient="portrait"/>
          <w:cols w:equalWidth="0" w:num="2">
            <w:col w:w="9620" w:space="40"/>
            <w:col w:w="1760"/>
          </w:cols>
          <w:pgMar w:left="240" w:top="125" w:right="239" w:bottom="301"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VALUATION AND QUALIFYING ACCOUNTS AND RESERVES</w:t>
      </w:r>
    </w:p>
    <w:p>
      <w:pPr>
        <w:spacing w:after="0" w:line="19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Additions</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Reclass</w:t>
            </w: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w w:val="96"/>
              </w:rPr>
              <w:t>(reductions)</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960" w:type="dxa"/>
            <w:vAlign w:val="bottom"/>
            <w:gridSpan w:val="2"/>
          </w:tcPr>
          <w:p>
            <w:pPr>
              <w:jc w:val="right"/>
              <w:ind w:right="52"/>
              <w:spacing w:after="0" w:line="135" w:lineRule="exact"/>
              <w:rPr>
                <w:sz w:val="20"/>
                <w:szCs w:val="20"/>
                <w:color w:val="auto"/>
              </w:rPr>
            </w:pPr>
            <w:r>
              <w:rPr>
                <w:rFonts w:ascii="Arial" w:cs="Arial" w:eastAsia="Arial" w:hAnsi="Arial"/>
                <w:sz w:val="14"/>
                <w:szCs w:val="14"/>
                <w:b w:val="1"/>
                <w:bCs w:val="1"/>
                <w:color w:val="auto"/>
                <w:w w:val="93"/>
              </w:rPr>
              <w:t>Beginning of</w:t>
            </w:r>
          </w:p>
        </w:tc>
        <w:tc>
          <w:tcPr>
            <w:tcW w:w="9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w w:val="91"/>
              </w:rPr>
              <w:t>to Costs and</w:t>
            </w:r>
          </w:p>
        </w:tc>
        <w:tc>
          <w:tcPr>
            <w:tcW w:w="10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Write offs</w:t>
            </w: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6"/>
              </w:rPr>
              <w:t>from Other</w:t>
            </w:r>
          </w:p>
        </w:tc>
        <w:tc>
          <w:tcPr>
            <w:tcW w:w="26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w w:val="91"/>
              </w:rPr>
              <w:t>Period</w:t>
            </w: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Expenses</w:t>
            </w:r>
          </w:p>
        </w:tc>
        <w:tc>
          <w:tcPr>
            <w:tcW w:w="1040" w:type="dxa"/>
            <w:vAlign w:val="bottom"/>
            <w:gridSpan w:val="2"/>
            <w:vMerge w:val="continue"/>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26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0"/>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4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Year ended December 31, 2004</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1,259</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9"/>
              </w:rPr>
              <w:t>(311)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2005</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1,493</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(324)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Year ended December 31, 2006</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1,626</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9"/>
              </w:rPr>
              <w:t>(450)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deferred tax assets: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Year ended December 31, 2004</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90"/>
              </w:rPr>
              <w:t>74,928</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13,611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2005</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88,539</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Year ended December 31, 2006</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90"/>
              </w:rPr>
              <w:t>89,988</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12,165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Allowance for excess and obsolete inventory</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and abandoned product: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Year ended December 31, 2004</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253</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9"/>
              </w:rPr>
              <w:t>(138)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ended December 31, 2005</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Year ended December 31, 2006</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178</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97"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Exhibit Number Incorporated</w:t>
      </w:r>
    </w:p>
    <w:p>
      <w:pPr>
        <w:jc w:val="center"/>
        <w:ind w:left="6340"/>
        <w:spacing w:after="0" w:line="201" w:lineRule="auto"/>
        <w:rPr>
          <w:sz w:val="20"/>
          <w:szCs w:val="20"/>
          <w:color w:val="auto"/>
        </w:rPr>
      </w:pPr>
      <w:r>
        <w:rPr>
          <w:rFonts w:ascii="Arial" w:cs="Arial" w:eastAsia="Arial" w:hAnsi="Arial"/>
          <w:sz w:val="14"/>
          <w:szCs w:val="14"/>
          <w:b w:val="1"/>
          <w:bCs w:val="1"/>
          <w:color w:val="auto"/>
        </w:rPr>
        <w:t>by reference herein</w:t>
      </w:r>
    </w:p>
    <w:tbl>
      <w:tblPr>
        <w:tblLayout w:type="fixed"/>
        <w:tblInd w:w="0" w:type="dxa"/>
        <w:tblCellMar>
          <w:top w:w="0" w:type="dxa"/>
          <w:left w:w="0" w:type="dxa"/>
          <w:bottom w:w="0" w:type="dxa"/>
          <w:right w:w="0" w:type="dxa"/>
        </w:tblCellMar>
      </w:tblPr>
      <w:tr>
        <w:trPr>
          <w:trHeight w:val="20"/>
        </w:trPr>
        <w:tc>
          <w:tcPr>
            <w:tcW w:w="1140" w:type="dxa"/>
            <w:vAlign w:val="bottom"/>
            <w:gridSpan w:val="2"/>
            <w:vMerge w:val="restart"/>
          </w:tcPr>
          <w:p>
            <w:pPr>
              <w:jc w:val="center"/>
              <w:ind w:right="160"/>
              <w:spacing w:after="0" w:line="129" w:lineRule="exact"/>
              <w:rPr>
                <w:sz w:val="20"/>
                <w:szCs w:val="20"/>
                <w:color w:val="auto"/>
              </w:rPr>
            </w:pPr>
            <w:r>
              <w:rPr>
                <w:rFonts w:ascii="Arial" w:cs="Arial" w:eastAsia="Arial" w:hAnsi="Arial"/>
                <w:sz w:val="14"/>
                <w:szCs w:val="14"/>
                <w:b w:val="1"/>
                <w:bCs w:val="1"/>
                <w:color w:val="auto"/>
                <w:w w:val="98"/>
              </w:rPr>
              <w:t>Exhibit</w:t>
            </w:r>
          </w:p>
        </w:tc>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88"/>
        </w:trPr>
        <w:tc>
          <w:tcPr>
            <w:tcW w:w="1140" w:type="dxa"/>
            <w:vAlign w:val="bottom"/>
            <w:gridSpan w:val="2"/>
            <w:vMerge w:val="continue"/>
          </w:tcPr>
          <w:p>
            <w:pPr>
              <w:spacing w:after="0"/>
              <w:rPr>
                <w:sz w:val="7"/>
                <w:szCs w:val="7"/>
                <w:color w:val="auto"/>
              </w:rPr>
            </w:pPr>
          </w:p>
        </w:tc>
        <w:tc>
          <w:tcPr>
            <w:tcW w:w="380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7"/>
                <w:szCs w:val="7"/>
                <w:color w:val="auto"/>
              </w:rPr>
            </w:pPr>
          </w:p>
        </w:tc>
        <w:tc>
          <w:tcPr>
            <w:tcW w:w="20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Form</w:t>
            </w:r>
          </w:p>
        </w:tc>
        <w:tc>
          <w:tcPr>
            <w:tcW w:w="200" w:type="dxa"/>
            <w:vAlign w:val="bottom"/>
            <w:vMerge w:val="restart"/>
          </w:tcPr>
          <w:p>
            <w:pPr>
              <w:spacing w:after="0"/>
              <w:rPr>
                <w:sz w:val="7"/>
                <w:szCs w:val="7"/>
                <w:color w:val="auto"/>
              </w:rPr>
            </w:pPr>
          </w:p>
        </w:tc>
        <w:tc>
          <w:tcPr>
            <w:tcW w:w="16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Date</w:t>
            </w:r>
          </w:p>
        </w:tc>
        <w:tc>
          <w:tcPr>
            <w:tcW w:w="160" w:type="dxa"/>
            <w:vAlign w:val="bottom"/>
            <w:vMerge w:val="restart"/>
          </w:tcPr>
          <w:p>
            <w:pPr>
              <w:spacing w:after="0"/>
              <w:rPr>
                <w:sz w:val="7"/>
                <w:szCs w:val="7"/>
                <w:color w:val="auto"/>
              </w:rPr>
            </w:pPr>
          </w:p>
        </w:tc>
        <w:tc>
          <w:tcPr>
            <w:tcW w:w="12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180" w:type="dxa"/>
            <w:vAlign w:val="bottom"/>
            <w:vMerge w:val="restart"/>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38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420"/>
          </w:cols>
          <w:pgMar w:left="240" w:top="125" w:right="239" w:bottom="301"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3.1</w:t>
            </w:r>
          </w:p>
        </w:tc>
        <w:tc>
          <w:tcPr>
            <w:tcW w:w="4160" w:type="dxa"/>
            <w:vAlign w:val="bottom"/>
          </w:tcPr>
          <w:p>
            <w:pPr>
              <w:ind w:left="460"/>
              <w:spacing w:after="0"/>
              <w:rPr>
                <w:sz w:val="20"/>
                <w:szCs w:val="20"/>
                <w:color w:val="auto"/>
              </w:rPr>
            </w:pPr>
            <w:r>
              <w:rPr>
                <w:rFonts w:ascii="Arial" w:cs="Arial" w:eastAsia="Arial" w:hAnsi="Arial"/>
                <w:sz w:val="18"/>
                <w:szCs w:val="18"/>
                <w:color w:val="auto"/>
                <w:w w:val="90"/>
              </w:rPr>
              <w:t>Amended and Restated Certificate of Incorporation</w:t>
            </w:r>
          </w:p>
        </w:tc>
      </w:tr>
      <w:tr>
        <w:trPr>
          <w:trHeight w:val="230"/>
        </w:trPr>
        <w:tc>
          <w:tcPr>
            <w:tcW w:w="680" w:type="dxa"/>
            <w:vAlign w:val="bottom"/>
          </w:tcPr>
          <w:p>
            <w:pPr>
              <w:spacing w:after="0"/>
              <w:rPr>
                <w:sz w:val="20"/>
                <w:szCs w:val="20"/>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of registrant.</w:t>
            </w:r>
          </w:p>
        </w:tc>
      </w:tr>
      <w:tr>
        <w:trPr>
          <w:trHeight w:val="284"/>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3.2</w:t>
            </w:r>
          </w:p>
        </w:tc>
        <w:tc>
          <w:tcPr>
            <w:tcW w:w="4160" w:type="dxa"/>
            <w:vAlign w:val="bottom"/>
          </w:tcPr>
          <w:p>
            <w:pPr>
              <w:ind w:left="460"/>
              <w:spacing w:after="0"/>
              <w:rPr>
                <w:sz w:val="20"/>
                <w:szCs w:val="20"/>
                <w:color w:val="auto"/>
              </w:rPr>
            </w:pPr>
            <w:r>
              <w:rPr>
                <w:rFonts w:ascii="Arial" w:cs="Arial" w:eastAsia="Arial" w:hAnsi="Arial"/>
                <w:sz w:val="18"/>
                <w:szCs w:val="18"/>
                <w:color w:val="auto"/>
              </w:rPr>
              <w:t>Amended and Restated Bylaws of registrant.</w:t>
            </w:r>
          </w:p>
        </w:tc>
      </w:tr>
      <w:tr>
        <w:trPr>
          <w:trHeight w:val="500"/>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3.3</w:t>
            </w:r>
          </w:p>
        </w:tc>
        <w:tc>
          <w:tcPr>
            <w:tcW w:w="4160" w:type="dxa"/>
            <w:vAlign w:val="bottom"/>
          </w:tcPr>
          <w:p>
            <w:pPr>
              <w:ind w:left="460"/>
              <w:spacing w:after="0"/>
              <w:rPr>
                <w:sz w:val="20"/>
                <w:szCs w:val="20"/>
                <w:color w:val="auto"/>
              </w:rPr>
            </w:pPr>
            <w:r>
              <w:rPr>
                <w:rFonts w:ascii="Arial" w:cs="Arial" w:eastAsia="Arial" w:hAnsi="Arial"/>
                <w:sz w:val="18"/>
                <w:szCs w:val="18"/>
                <w:color w:val="auto"/>
                <w:w w:val="93"/>
              </w:rPr>
              <w:t>Certificate of Designations of Rights, Preferences</w:t>
            </w:r>
          </w:p>
        </w:tc>
      </w:tr>
    </w:tbl>
    <w:p>
      <w:pPr>
        <w:ind w:left="1320"/>
        <w:spacing w:after="0" w:line="261" w:lineRule="auto"/>
        <w:rPr>
          <w:sz w:val="20"/>
          <w:szCs w:val="20"/>
          <w:color w:val="auto"/>
        </w:rPr>
      </w:pPr>
      <w:r>
        <w:rPr>
          <w:rFonts w:ascii="Arial" w:cs="Arial" w:eastAsia="Arial" w:hAnsi="Arial"/>
          <w:sz w:val="18"/>
          <w:szCs w:val="18"/>
          <w:color w:val="auto"/>
        </w:rPr>
        <w:t>and Privileges of Series A Participating Preferred Stock registrant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12/28/2000</w:t>
            </w: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No. 333-49932)</w:t>
            </w: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69"/>
        </w:trPr>
        <w:tc>
          <w:tcPr>
            <w:tcW w:w="232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12/28/2000</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No. 333-49932)</w:t>
            </w: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84"/>
        </w:trPr>
        <w:tc>
          <w:tcPr>
            <w:tcW w:w="2320" w:type="dxa"/>
            <w:vAlign w:val="bottom"/>
          </w:tcPr>
          <w:p>
            <w:pPr>
              <w:spacing w:after="0"/>
              <w:rPr>
                <w:sz w:val="20"/>
                <w:szCs w:val="20"/>
                <w:color w:val="auto"/>
              </w:rPr>
            </w:pPr>
            <w:r>
              <w:rPr>
                <w:rFonts w:ascii="Arial" w:cs="Arial" w:eastAsia="Arial" w:hAnsi="Arial"/>
                <w:sz w:val="18"/>
                <w:szCs w:val="18"/>
                <w:color w:val="auto"/>
              </w:rPr>
              <w:t>Form 8-K</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10/27/2005</w:t>
            </w: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485" w:lineRule="exact"/>
        <w:rPr>
          <w:sz w:val="20"/>
          <w:szCs w:val="20"/>
          <w:color w:val="auto"/>
        </w:rPr>
      </w:pPr>
    </w:p>
    <w:p>
      <w:pPr>
        <w:sectPr>
          <w:pgSz w:w="11900" w:h="16838" w:orient="portrait"/>
          <w:cols w:equalWidth="0" w:num="2">
            <w:col w:w="4880" w:space="280"/>
            <w:col w:w="6260"/>
          </w:cols>
          <w:pgMar w:left="240" w:top="125" w:right="239" w:bottom="301"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4.1</w:t>
            </w:r>
          </w:p>
        </w:tc>
        <w:tc>
          <w:tcPr>
            <w:tcW w:w="4360" w:type="dxa"/>
            <w:vAlign w:val="bottom"/>
          </w:tcPr>
          <w:p>
            <w:pPr>
              <w:ind w:left="460"/>
              <w:spacing w:after="0"/>
              <w:rPr>
                <w:sz w:val="20"/>
                <w:szCs w:val="20"/>
                <w:color w:val="auto"/>
              </w:rPr>
            </w:pPr>
            <w:r>
              <w:rPr>
                <w:rFonts w:ascii="Arial" w:cs="Arial" w:eastAsia="Arial" w:hAnsi="Arial"/>
                <w:sz w:val="18"/>
                <w:szCs w:val="18"/>
                <w:color w:val="auto"/>
              </w:rPr>
              <w:t>Form of Specimen Common Stock Certificate.</w:t>
            </w:r>
          </w:p>
        </w:tc>
        <w:tc>
          <w:tcPr>
            <w:tcW w:w="2440" w:type="dxa"/>
            <w:vAlign w:val="bottom"/>
          </w:tcPr>
          <w:p>
            <w:pPr>
              <w:ind w:left="120"/>
              <w:spacing w:after="0"/>
              <w:rPr>
                <w:sz w:val="20"/>
                <w:szCs w:val="20"/>
                <w:color w:val="auto"/>
              </w:rPr>
            </w:pPr>
            <w:r>
              <w:rPr>
                <w:rFonts w:ascii="Arial" w:cs="Arial" w:eastAsia="Arial" w:hAnsi="Arial"/>
                <w:sz w:val="18"/>
                <w:szCs w:val="18"/>
                <w:color w:val="auto"/>
              </w:rPr>
              <w:t>Form S-1, as amended (File</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01/17/2001</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No. 333-49932)</w:t>
            </w: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69"/>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4.2</w:t>
            </w:r>
          </w:p>
        </w:tc>
        <w:tc>
          <w:tcPr>
            <w:tcW w:w="4360" w:type="dxa"/>
            <w:vAlign w:val="bottom"/>
          </w:tcPr>
          <w:p>
            <w:pPr>
              <w:ind w:left="460"/>
              <w:spacing w:after="0"/>
              <w:rPr>
                <w:sz w:val="20"/>
                <w:szCs w:val="20"/>
                <w:color w:val="auto"/>
              </w:rPr>
            </w:pPr>
            <w:r>
              <w:rPr>
                <w:rFonts w:ascii="Arial" w:cs="Arial" w:eastAsia="Arial" w:hAnsi="Arial"/>
                <w:sz w:val="18"/>
                <w:szCs w:val="18"/>
                <w:color w:val="auto"/>
                <w:w w:val="92"/>
              </w:rPr>
              <w:t>Preferred Stock Rights Agreement dated October 25</w:t>
            </w:r>
          </w:p>
        </w:tc>
        <w:tc>
          <w:tcPr>
            <w:tcW w:w="2440" w:type="dxa"/>
            <w:vAlign w:val="bottom"/>
          </w:tcPr>
          <w:p>
            <w:pPr>
              <w:ind w:left="120"/>
              <w:spacing w:after="0"/>
              <w:rPr>
                <w:sz w:val="20"/>
                <w:szCs w:val="20"/>
                <w:color w:val="auto"/>
              </w:rPr>
            </w:pPr>
            <w:r>
              <w:rPr>
                <w:rFonts w:ascii="Arial" w:cs="Arial" w:eastAsia="Arial" w:hAnsi="Arial"/>
                <w:sz w:val="18"/>
                <w:szCs w:val="18"/>
                <w:color w:val="auto"/>
              </w:rPr>
              <w:t>Form 8-K</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10/27/2005</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80" w:type="dxa"/>
            <w:vAlign w:val="bottom"/>
          </w:tcPr>
          <w:p>
            <w:pPr>
              <w:spacing w:after="0"/>
              <w:rPr>
                <w:sz w:val="18"/>
                <w:szCs w:val="18"/>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between the registrant and EquiServe Trust</w:t>
            </w:r>
          </w:p>
        </w:tc>
        <w:tc>
          <w:tcPr>
            <w:tcW w:w="2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Company, N.A.</w:t>
            </w:r>
          </w:p>
        </w:tc>
        <w:tc>
          <w:tcPr>
            <w:tcW w:w="2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53" w:lineRule="exact"/>
        <w:rPr>
          <w:sz w:val="20"/>
          <w:szCs w:val="20"/>
          <w:color w:val="auto"/>
        </w:rPr>
      </w:pPr>
    </w:p>
    <w:p>
      <w:pPr>
        <w:sectPr>
          <w:pgSz w:w="11900" w:h="16838" w:orient="portrait"/>
          <w:cols w:equalWidth="0" w:num="1">
            <w:col w:w="11420"/>
          </w:cols>
          <w:pgMar w:left="240" w:top="125" w:right="239" w:bottom="301" w:gutter="0" w:footer="0" w:header="0"/>
          <w:type w:val="continuous"/>
        </w:sectPr>
      </w:pPr>
    </w:p>
    <w:p>
      <w:pPr>
        <w:ind w:left="1140" w:hanging="1313"/>
        <w:spacing w:after="0" w:line="259" w:lineRule="auto"/>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Lease Agreement by and between James Lindsey and registrant, dated June 20, 2000, for office space located at 881 Martin Avenue, Santa Clara, CA.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11/14/2000</w:t>
            </w: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No. 333-49932)</w:t>
            </w:r>
          </w:p>
        </w:tc>
        <w:tc>
          <w:tcPr>
            <w:tcW w:w="164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484" w:lineRule="exact"/>
        <w:rPr>
          <w:sz w:val="20"/>
          <w:szCs w:val="20"/>
          <w:color w:val="auto"/>
        </w:rPr>
      </w:pPr>
    </w:p>
    <w:p>
      <w:pPr>
        <w:sectPr>
          <w:pgSz w:w="11900" w:h="16838" w:orient="portrait"/>
          <w:cols w:equalWidth="0" w:num="2">
            <w:col w:w="4880" w:space="280"/>
            <w:col w:w="6260"/>
          </w:cols>
          <w:pgMar w:left="240" w:top="125" w:right="239" w:bottom="301" w:gutter="0" w:footer="0" w:header="0"/>
          <w:type w:val="continuous"/>
        </w:sectPr>
      </w:pPr>
    </w:p>
    <w:p>
      <w:pPr>
        <w:ind w:left="1140" w:right="1480" w:hanging="1313"/>
        <w:spacing w:after="0" w:line="258" w:lineRule="auto"/>
        <w:tabs>
          <w:tab w:leader="none" w:pos="11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Lease Agreement dated Form 8-K 02/09/2005 10.1 February 2, 2005 for office space located at 881</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Martin Avenue, Santa Clara, CA</w:t>
      </w:r>
    </w:p>
    <w:p>
      <w:pPr>
        <w:sectPr>
          <w:pgSz w:w="11900" w:h="16838" w:orient="portrait"/>
          <w:cols w:equalWidth="0" w:num="1">
            <w:col w:w="11420"/>
          </w:cols>
          <w:pgMar w:left="240" w:top="125" w:right="239" w:bottom="301"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10.3</w:t>
            </w:r>
          </w:p>
        </w:tc>
        <w:tc>
          <w:tcPr>
            <w:tcW w:w="4120" w:type="dxa"/>
            <w:vAlign w:val="bottom"/>
          </w:tcPr>
          <w:p>
            <w:pPr>
              <w:ind w:left="400"/>
              <w:spacing w:after="0"/>
              <w:rPr>
                <w:sz w:val="20"/>
                <w:szCs w:val="20"/>
                <w:color w:val="auto"/>
              </w:rPr>
            </w:pPr>
            <w:r>
              <w:rPr>
                <w:rFonts w:ascii="Arial" w:cs="Arial" w:eastAsia="Arial" w:hAnsi="Arial"/>
                <w:sz w:val="18"/>
                <w:szCs w:val="18"/>
                <w:color w:val="auto"/>
                <w:w w:val="95"/>
              </w:rPr>
              <w:t>Lease Agreement dated August 30, 2001 by and</w:t>
            </w:r>
          </w:p>
        </w:tc>
      </w:tr>
      <w:tr>
        <w:trPr>
          <w:trHeight w:val="216"/>
        </w:trPr>
        <w:tc>
          <w:tcPr>
            <w:tcW w:w="740" w:type="dxa"/>
            <w:vAlign w:val="bottom"/>
          </w:tcPr>
          <w:p>
            <w:pPr>
              <w:spacing w:after="0"/>
              <w:rPr>
                <w:sz w:val="18"/>
                <w:szCs w:val="18"/>
                <w:color w:val="auto"/>
              </w:rPr>
            </w:pPr>
          </w:p>
        </w:tc>
        <w:tc>
          <w:tcPr>
            <w:tcW w:w="4120" w:type="dxa"/>
            <w:vAlign w:val="bottom"/>
          </w:tcPr>
          <w:p>
            <w:pPr>
              <w:ind w:left="580"/>
              <w:spacing w:after="0"/>
              <w:rPr>
                <w:sz w:val="20"/>
                <w:szCs w:val="20"/>
                <w:color w:val="auto"/>
              </w:rPr>
            </w:pPr>
            <w:r>
              <w:rPr>
                <w:rFonts w:ascii="Arial" w:cs="Arial" w:eastAsia="Arial" w:hAnsi="Arial"/>
                <w:sz w:val="18"/>
                <w:szCs w:val="18"/>
                <w:color w:val="auto"/>
                <w:w w:val="98"/>
              </w:rPr>
              <w:t>between James S. Lindsey and registrant for</w:t>
            </w:r>
          </w:p>
        </w:tc>
      </w:tr>
      <w:tr>
        <w:trPr>
          <w:trHeight w:val="216"/>
        </w:trPr>
        <w:tc>
          <w:tcPr>
            <w:tcW w:w="740" w:type="dxa"/>
            <w:vAlign w:val="bottom"/>
          </w:tcPr>
          <w:p>
            <w:pPr>
              <w:spacing w:after="0"/>
              <w:rPr>
                <w:sz w:val="18"/>
                <w:szCs w:val="18"/>
                <w:color w:val="auto"/>
              </w:rPr>
            </w:pPr>
          </w:p>
        </w:tc>
        <w:tc>
          <w:tcPr>
            <w:tcW w:w="4120" w:type="dxa"/>
            <w:vAlign w:val="bottom"/>
          </w:tcPr>
          <w:p>
            <w:pPr>
              <w:ind w:left="580"/>
              <w:spacing w:after="0"/>
              <w:rPr>
                <w:sz w:val="20"/>
                <w:szCs w:val="20"/>
                <w:color w:val="auto"/>
              </w:rPr>
            </w:pPr>
            <w:r>
              <w:rPr>
                <w:rFonts w:ascii="Arial" w:cs="Arial" w:eastAsia="Arial" w:hAnsi="Arial"/>
                <w:sz w:val="18"/>
                <w:szCs w:val="18"/>
                <w:color w:val="auto"/>
                <w:w w:val="89"/>
              </w:rPr>
              <w:t>office space located at 821 Martin Avenue, Santa</w:t>
            </w:r>
          </w:p>
        </w:tc>
      </w:tr>
      <w:tr>
        <w:trPr>
          <w:trHeight w:val="230"/>
        </w:trPr>
        <w:tc>
          <w:tcPr>
            <w:tcW w:w="740" w:type="dxa"/>
            <w:vAlign w:val="bottom"/>
          </w:tcPr>
          <w:p>
            <w:pPr>
              <w:spacing w:after="0"/>
              <w:rPr>
                <w:sz w:val="20"/>
                <w:szCs w:val="20"/>
                <w:color w:val="auto"/>
              </w:rPr>
            </w:pPr>
          </w:p>
        </w:tc>
        <w:tc>
          <w:tcPr>
            <w:tcW w:w="4120" w:type="dxa"/>
            <w:vAlign w:val="bottom"/>
          </w:tcPr>
          <w:p>
            <w:pPr>
              <w:ind w:left="580"/>
              <w:spacing w:after="0"/>
              <w:rPr>
                <w:sz w:val="20"/>
                <w:szCs w:val="20"/>
                <w:color w:val="auto"/>
              </w:rPr>
            </w:pPr>
            <w:r>
              <w:rPr>
                <w:rFonts w:ascii="Arial" w:cs="Arial" w:eastAsia="Arial" w:hAnsi="Arial"/>
                <w:sz w:val="18"/>
                <w:szCs w:val="18"/>
                <w:color w:val="auto"/>
              </w:rPr>
              <w:t>Clara, CA.</w:t>
            </w:r>
          </w:p>
        </w:tc>
      </w:tr>
      <w:tr>
        <w:trPr>
          <w:trHeight w:val="269"/>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10.4</w:t>
            </w:r>
          </w:p>
        </w:tc>
        <w:tc>
          <w:tcPr>
            <w:tcW w:w="4120" w:type="dxa"/>
            <w:vAlign w:val="bottom"/>
          </w:tcPr>
          <w:p>
            <w:pPr>
              <w:ind w:left="400"/>
              <w:spacing w:after="0"/>
              <w:rPr>
                <w:sz w:val="20"/>
                <w:szCs w:val="20"/>
                <w:color w:val="auto"/>
              </w:rPr>
            </w:pPr>
            <w:r>
              <w:rPr>
                <w:rFonts w:ascii="Arial" w:cs="Arial" w:eastAsia="Arial" w:hAnsi="Arial"/>
                <w:sz w:val="18"/>
                <w:szCs w:val="18"/>
                <w:color w:val="auto"/>
              </w:rPr>
              <w:t>First Amendment to Lease Agreement dated</w:t>
            </w:r>
          </w:p>
        </w:tc>
      </w:tr>
      <w:tr>
        <w:trPr>
          <w:trHeight w:val="216"/>
        </w:trPr>
        <w:tc>
          <w:tcPr>
            <w:tcW w:w="740" w:type="dxa"/>
            <w:vAlign w:val="bottom"/>
          </w:tcPr>
          <w:p>
            <w:pPr>
              <w:spacing w:after="0"/>
              <w:rPr>
                <w:sz w:val="18"/>
                <w:szCs w:val="18"/>
                <w:color w:val="auto"/>
              </w:rPr>
            </w:pPr>
          </w:p>
        </w:tc>
        <w:tc>
          <w:tcPr>
            <w:tcW w:w="4120" w:type="dxa"/>
            <w:vAlign w:val="bottom"/>
          </w:tcPr>
          <w:p>
            <w:pPr>
              <w:ind w:left="580"/>
              <w:spacing w:after="0"/>
              <w:rPr>
                <w:sz w:val="20"/>
                <w:szCs w:val="20"/>
                <w:color w:val="auto"/>
              </w:rPr>
            </w:pPr>
            <w:r>
              <w:rPr>
                <w:rFonts w:ascii="Arial" w:cs="Arial" w:eastAsia="Arial" w:hAnsi="Arial"/>
                <w:sz w:val="18"/>
                <w:szCs w:val="18"/>
                <w:color w:val="auto"/>
                <w:w w:val="92"/>
              </w:rPr>
              <w:t>February 2, 2005 for office space located at 821</w:t>
            </w:r>
          </w:p>
        </w:tc>
      </w:tr>
      <w:tr>
        <w:trPr>
          <w:trHeight w:val="230"/>
        </w:trPr>
        <w:tc>
          <w:tcPr>
            <w:tcW w:w="740" w:type="dxa"/>
            <w:vAlign w:val="bottom"/>
          </w:tcPr>
          <w:p>
            <w:pPr>
              <w:spacing w:after="0"/>
              <w:rPr>
                <w:sz w:val="20"/>
                <w:szCs w:val="20"/>
                <w:color w:val="auto"/>
              </w:rPr>
            </w:pPr>
          </w:p>
        </w:tc>
        <w:tc>
          <w:tcPr>
            <w:tcW w:w="4120" w:type="dxa"/>
            <w:vAlign w:val="bottom"/>
          </w:tcPr>
          <w:p>
            <w:pPr>
              <w:ind w:left="580"/>
              <w:spacing w:after="0"/>
              <w:rPr>
                <w:sz w:val="20"/>
                <w:szCs w:val="20"/>
                <w:color w:val="auto"/>
              </w:rPr>
            </w:pPr>
            <w:r>
              <w:rPr>
                <w:rFonts w:ascii="Arial" w:cs="Arial" w:eastAsia="Arial" w:hAnsi="Arial"/>
                <w:sz w:val="18"/>
                <w:szCs w:val="18"/>
                <w:color w:val="auto"/>
              </w:rPr>
              <w:t>Martin Avenue, Santa Clara, CA.</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Form 10-K fiscal year</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03/27/2003</w:t>
            </w:r>
          </w:p>
        </w:tc>
        <w:tc>
          <w:tcPr>
            <w:tcW w:w="90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ended December 31,</w:t>
            </w: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2002</w:t>
            </w: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00"/>
        </w:trPr>
        <w:tc>
          <w:tcPr>
            <w:tcW w:w="2100" w:type="dxa"/>
            <w:vAlign w:val="bottom"/>
          </w:tcPr>
          <w:p>
            <w:pPr>
              <w:spacing w:after="0"/>
              <w:rPr>
                <w:sz w:val="20"/>
                <w:szCs w:val="20"/>
                <w:color w:val="auto"/>
              </w:rPr>
            </w:pPr>
            <w:r>
              <w:rPr>
                <w:rFonts w:ascii="Arial" w:cs="Arial" w:eastAsia="Arial" w:hAnsi="Arial"/>
                <w:sz w:val="18"/>
                <w:szCs w:val="18"/>
                <w:color w:val="auto"/>
              </w:rPr>
              <w:t>Form 8-K</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02/09/2005</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235585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300"/>
            <w:col w:w="5880"/>
          </w:cols>
          <w:pgMar w:left="240" w:top="125" w:right="619" w:bottom="2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4100" w:type="dxa"/>
            <w:vAlign w:val="bottom"/>
          </w:tcPr>
          <w:p>
            <w:pPr>
              <w:ind w:left="320"/>
              <w:spacing w:after="0"/>
              <w:rPr>
                <w:sz w:val="20"/>
                <w:szCs w:val="20"/>
                <w:color w:val="auto"/>
              </w:rPr>
            </w:pPr>
            <w:r>
              <w:rPr>
                <w:rFonts w:ascii="Arial" w:cs="Arial" w:eastAsia="Arial" w:hAnsi="Arial"/>
                <w:sz w:val="18"/>
                <w:szCs w:val="18"/>
                <w:color w:val="auto"/>
              </w:rPr>
              <w:t>Lease Agreement dated March 4, 2004 by and</w:t>
            </w:r>
          </w:p>
        </w:tc>
      </w:tr>
      <w:tr>
        <w:trPr>
          <w:trHeight w:val="216"/>
        </w:trPr>
        <w:tc>
          <w:tcPr>
            <w:tcW w:w="820" w:type="dxa"/>
            <w:vAlign w:val="bottom"/>
          </w:tcPr>
          <w:p>
            <w:pPr>
              <w:spacing w:after="0"/>
              <w:rPr>
                <w:sz w:val="18"/>
                <w:szCs w:val="18"/>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between James S. Lindsey and registrant for</w:t>
            </w:r>
          </w:p>
        </w:tc>
      </w:tr>
      <w:tr>
        <w:trPr>
          <w:trHeight w:val="216"/>
        </w:trPr>
        <w:tc>
          <w:tcPr>
            <w:tcW w:w="820" w:type="dxa"/>
            <w:vAlign w:val="bottom"/>
          </w:tcPr>
          <w:p>
            <w:pPr>
              <w:spacing w:after="0"/>
              <w:rPr>
                <w:sz w:val="18"/>
                <w:szCs w:val="18"/>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w w:val="91"/>
              </w:rPr>
              <w:t>office space located at 831 Martin Avenue, Santa</w:t>
            </w:r>
          </w:p>
        </w:tc>
      </w:tr>
      <w:tr>
        <w:trPr>
          <w:trHeight w:val="230"/>
        </w:trPr>
        <w:tc>
          <w:tcPr>
            <w:tcW w:w="82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Clara, CA.</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4100" w:type="dxa"/>
            <w:vAlign w:val="bottom"/>
          </w:tcPr>
          <w:p>
            <w:pPr>
              <w:ind w:left="320"/>
              <w:spacing w:after="0"/>
              <w:rPr>
                <w:sz w:val="20"/>
                <w:szCs w:val="20"/>
                <w:color w:val="auto"/>
              </w:rPr>
            </w:pPr>
            <w:r>
              <w:rPr>
                <w:rFonts w:ascii="Arial" w:cs="Arial" w:eastAsia="Arial" w:hAnsi="Arial"/>
                <w:sz w:val="18"/>
                <w:szCs w:val="18"/>
                <w:color w:val="auto"/>
              </w:rPr>
              <w:t>First Amendment to Lease Agreement dated</w:t>
            </w:r>
          </w:p>
        </w:tc>
      </w:tr>
      <w:tr>
        <w:trPr>
          <w:trHeight w:val="216"/>
        </w:trPr>
        <w:tc>
          <w:tcPr>
            <w:tcW w:w="820" w:type="dxa"/>
            <w:vAlign w:val="bottom"/>
          </w:tcPr>
          <w:p>
            <w:pPr>
              <w:spacing w:after="0"/>
              <w:rPr>
                <w:sz w:val="18"/>
                <w:szCs w:val="18"/>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w w:val="93"/>
              </w:rPr>
              <w:t>February 2, 2005 for office space located at 831</w:t>
            </w:r>
          </w:p>
        </w:tc>
      </w:tr>
      <w:tr>
        <w:trPr>
          <w:trHeight w:val="230"/>
        </w:trPr>
        <w:tc>
          <w:tcPr>
            <w:tcW w:w="82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Martin Avenue, Santa Clara, CA.</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4100" w:type="dxa"/>
            <w:vAlign w:val="bottom"/>
          </w:tcPr>
          <w:p>
            <w:pPr>
              <w:ind w:left="320"/>
              <w:spacing w:after="0"/>
              <w:rPr>
                <w:sz w:val="20"/>
                <w:szCs w:val="20"/>
                <w:color w:val="auto"/>
              </w:rPr>
            </w:pPr>
            <w:r>
              <w:rPr>
                <w:rFonts w:ascii="Arial" w:cs="Arial" w:eastAsia="Arial" w:hAnsi="Arial"/>
                <w:sz w:val="18"/>
                <w:szCs w:val="18"/>
                <w:color w:val="auto"/>
              </w:rPr>
              <w:t>Shelter Agreement dated December 22, 2005</w:t>
            </w:r>
          </w:p>
        </w:tc>
      </w:tr>
      <w:tr>
        <w:trPr>
          <w:trHeight w:val="216"/>
        </w:trPr>
        <w:tc>
          <w:tcPr>
            <w:tcW w:w="820" w:type="dxa"/>
            <w:vAlign w:val="bottom"/>
          </w:tcPr>
          <w:p>
            <w:pPr>
              <w:spacing w:after="0"/>
              <w:rPr>
                <w:sz w:val="18"/>
                <w:szCs w:val="18"/>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between registrant and International</w:t>
            </w:r>
          </w:p>
        </w:tc>
      </w:tr>
      <w:tr>
        <w:trPr>
          <w:trHeight w:val="230"/>
        </w:trPr>
        <w:tc>
          <w:tcPr>
            <w:tcW w:w="82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w w:val="99"/>
              </w:rPr>
              <w:t>Manufacturing Solutions Operaciones, S.R.L.</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4100" w:type="dxa"/>
            <w:vAlign w:val="bottom"/>
          </w:tcPr>
          <w:p>
            <w:pPr>
              <w:ind w:left="320"/>
              <w:spacing w:after="0"/>
              <w:rPr>
                <w:sz w:val="20"/>
                <w:szCs w:val="20"/>
                <w:color w:val="auto"/>
              </w:rPr>
            </w:pPr>
            <w:r>
              <w:rPr>
                <w:rFonts w:ascii="Arial" w:cs="Arial" w:eastAsia="Arial" w:hAnsi="Arial"/>
                <w:sz w:val="18"/>
                <w:szCs w:val="18"/>
                <w:color w:val="auto"/>
              </w:rPr>
              <w:t>Amended and Restated Loan and Security</w:t>
            </w:r>
          </w:p>
        </w:tc>
      </w:tr>
      <w:tr>
        <w:trPr>
          <w:trHeight w:val="216"/>
        </w:trPr>
        <w:tc>
          <w:tcPr>
            <w:tcW w:w="820" w:type="dxa"/>
            <w:vAlign w:val="bottom"/>
          </w:tcPr>
          <w:p>
            <w:pPr>
              <w:spacing w:after="0"/>
              <w:rPr>
                <w:sz w:val="18"/>
                <w:szCs w:val="18"/>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w w:val="95"/>
              </w:rPr>
              <w:t>Agreement dated December 16, 2005 between</w:t>
            </w:r>
          </w:p>
        </w:tc>
      </w:tr>
      <w:tr>
        <w:trPr>
          <w:trHeight w:val="230"/>
        </w:trPr>
        <w:tc>
          <w:tcPr>
            <w:tcW w:w="82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registrant and Comerica Bank</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10.8A</w:t>
            </w:r>
          </w:p>
        </w:tc>
        <w:tc>
          <w:tcPr>
            <w:tcW w:w="4100" w:type="dxa"/>
            <w:vAlign w:val="bottom"/>
          </w:tcPr>
          <w:p>
            <w:pPr>
              <w:ind w:left="320"/>
              <w:spacing w:after="0"/>
              <w:rPr>
                <w:sz w:val="20"/>
                <w:szCs w:val="20"/>
                <w:color w:val="auto"/>
              </w:rPr>
            </w:pPr>
            <w:r>
              <w:rPr>
                <w:rFonts w:ascii="Arial" w:cs="Arial" w:eastAsia="Arial" w:hAnsi="Arial"/>
                <w:sz w:val="18"/>
                <w:szCs w:val="18"/>
                <w:color w:val="auto"/>
                <w:w w:val="96"/>
              </w:rPr>
              <w:t>Amendment to Amended and Restated Loan and</w:t>
            </w:r>
          </w:p>
        </w:tc>
      </w:tr>
      <w:tr>
        <w:trPr>
          <w:trHeight w:val="216"/>
        </w:trPr>
        <w:tc>
          <w:tcPr>
            <w:tcW w:w="820" w:type="dxa"/>
            <w:vAlign w:val="bottom"/>
          </w:tcPr>
          <w:p>
            <w:pPr>
              <w:spacing w:after="0"/>
              <w:rPr>
                <w:sz w:val="18"/>
                <w:szCs w:val="18"/>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Security Agreement dated March 7, 2007</w:t>
            </w:r>
          </w:p>
        </w:tc>
      </w:tr>
      <w:tr>
        <w:trPr>
          <w:trHeight w:val="230"/>
        </w:trPr>
        <w:tc>
          <w:tcPr>
            <w:tcW w:w="82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between registrant and Comerica Bank</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4100" w:type="dxa"/>
            <w:vAlign w:val="bottom"/>
          </w:tcPr>
          <w:p>
            <w:pPr>
              <w:ind w:left="320"/>
              <w:spacing w:after="0"/>
              <w:rPr>
                <w:sz w:val="20"/>
                <w:szCs w:val="20"/>
                <w:color w:val="auto"/>
              </w:rPr>
            </w:pPr>
            <w:r>
              <w:rPr>
                <w:rFonts w:ascii="Arial" w:cs="Arial" w:eastAsia="Arial" w:hAnsi="Arial"/>
                <w:sz w:val="18"/>
                <w:szCs w:val="18"/>
                <w:color w:val="auto"/>
              </w:rPr>
              <w:t>Form of Resale Restriction Agreement with T.</w:t>
            </w:r>
          </w:p>
        </w:tc>
      </w:tr>
      <w:tr>
        <w:trPr>
          <w:trHeight w:val="216"/>
        </w:trPr>
        <w:tc>
          <w:tcPr>
            <w:tcW w:w="820" w:type="dxa"/>
            <w:vAlign w:val="bottom"/>
          </w:tcPr>
          <w:p>
            <w:pPr>
              <w:spacing w:after="0"/>
              <w:rPr>
                <w:sz w:val="18"/>
                <w:szCs w:val="18"/>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w w:val="92"/>
              </w:rPr>
              <w:t>Prescott, E. Bullington, R. George, L. Hedge and</w:t>
            </w:r>
          </w:p>
        </w:tc>
      </w:tr>
      <w:tr>
        <w:trPr>
          <w:trHeight w:val="230"/>
        </w:trPr>
        <w:tc>
          <w:tcPr>
            <w:tcW w:w="82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Gil Laks</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4100" w:type="dxa"/>
            <w:vAlign w:val="bottom"/>
          </w:tcPr>
          <w:p>
            <w:pPr>
              <w:ind w:left="320"/>
              <w:spacing w:after="0"/>
              <w:rPr>
                <w:sz w:val="20"/>
                <w:szCs w:val="20"/>
                <w:color w:val="auto"/>
              </w:rPr>
            </w:pPr>
            <w:r>
              <w:rPr>
                <w:rFonts w:ascii="Arial" w:cs="Arial" w:eastAsia="Arial" w:hAnsi="Arial"/>
                <w:sz w:val="18"/>
                <w:szCs w:val="18"/>
                <w:color w:val="auto"/>
              </w:rPr>
              <w:t>Registrant's 2001 Stock Incentive Plan.</w:t>
            </w:r>
          </w:p>
        </w:tc>
      </w:tr>
      <w:tr>
        <w:trPr>
          <w:trHeight w:val="485"/>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4100" w:type="dxa"/>
            <w:vAlign w:val="bottom"/>
          </w:tcPr>
          <w:p>
            <w:pPr>
              <w:ind w:left="320"/>
              <w:spacing w:after="0"/>
              <w:rPr>
                <w:sz w:val="20"/>
                <w:szCs w:val="20"/>
                <w:color w:val="auto"/>
              </w:rPr>
            </w:pPr>
            <w:r>
              <w:rPr>
                <w:rFonts w:ascii="Arial" w:cs="Arial" w:eastAsia="Arial" w:hAnsi="Arial"/>
                <w:sz w:val="18"/>
                <w:szCs w:val="18"/>
                <w:color w:val="auto"/>
                <w:w w:val="91"/>
              </w:rPr>
              <w:t>Form of option agreement under Align’s 2001 Stock</w:t>
            </w:r>
          </w:p>
        </w:tc>
      </w:tr>
      <w:tr>
        <w:trPr>
          <w:trHeight w:val="230"/>
        </w:trPr>
        <w:tc>
          <w:tcPr>
            <w:tcW w:w="82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Incentive Plan</w:t>
            </w:r>
          </w:p>
        </w:tc>
      </w:tr>
      <w:tr>
        <w:trPr>
          <w:trHeight w:val="500"/>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4100" w:type="dxa"/>
            <w:vAlign w:val="bottom"/>
          </w:tcPr>
          <w:p>
            <w:pPr>
              <w:ind w:left="320"/>
              <w:spacing w:after="0"/>
              <w:rPr>
                <w:sz w:val="20"/>
                <w:szCs w:val="20"/>
                <w:color w:val="auto"/>
              </w:rPr>
            </w:pPr>
            <w:r>
              <w:rPr>
                <w:rFonts w:ascii="Arial" w:cs="Arial" w:eastAsia="Arial" w:hAnsi="Arial"/>
                <w:sz w:val="18"/>
                <w:szCs w:val="18"/>
                <w:color w:val="auto"/>
              </w:rPr>
              <w:t>Registrant's Employee Stock Purchase Plan.</w:t>
            </w:r>
          </w:p>
        </w:tc>
      </w:tr>
      <w:tr>
        <w:trPr>
          <w:trHeight w:val="485"/>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4100" w:type="dxa"/>
            <w:vAlign w:val="bottom"/>
          </w:tcPr>
          <w:p>
            <w:pPr>
              <w:ind w:left="320"/>
              <w:spacing w:after="0"/>
              <w:rPr>
                <w:sz w:val="20"/>
                <w:szCs w:val="20"/>
                <w:color w:val="auto"/>
              </w:rPr>
            </w:pPr>
            <w:r>
              <w:rPr>
                <w:rFonts w:ascii="Arial" w:cs="Arial" w:eastAsia="Arial" w:hAnsi="Arial"/>
                <w:sz w:val="18"/>
                <w:szCs w:val="18"/>
                <w:color w:val="auto"/>
              </w:rPr>
              <w:t>Form of Indemnification Agreement by and</w:t>
            </w:r>
          </w:p>
        </w:tc>
      </w:tr>
      <w:tr>
        <w:trPr>
          <w:trHeight w:val="216"/>
        </w:trPr>
        <w:tc>
          <w:tcPr>
            <w:tcW w:w="820" w:type="dxa"/>
            <w:vAlign w:val="bottom"/>
          </w:tcPr>
          <w:p>
            <w:pPr>
              <w:spacing w:after="0"/>
              <w:rPr>
                <w:sz w:val="18"/>
                <w:szCs w:val="18"/>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w w:val="91"/>
              </w:rPr>
              <w:t>between registrant and its Board of Directors and</w:t>
            </w:r>
          </w:p>
        </w:tc>
      </w:tr>
      <w:tr>
        <w:trPr>
          <w:trHeight w:val="230"/>
        </w:trPr>
        <w:tc>
          <w:tcPr>
            <w:tcW w:w="82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its executive officers.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Form 10-Q for quarter</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05/06/2004</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93"/>
              </w:rPr>
              <w:t>10.40</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ended March 31, 2004</w:t>
            </w:r>
          </w:p>
        </w:tc>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716"/>
        </w:trPr>
        <w:tc>
          <w:tcPr>
            <w:tcW w:w="2120" w:type="dxa"/>
            <w:vAlign w:val="bottom"/>
          </w:tcPr>
          <w:p>
            <w:pPr>
              <w:spacing w:after="0"/>
              <w:rPr>
                <w:sz w:val="20"/>
                <w:szCs w:val="20"/>
                <w:color w:val="auto"/>
              </w:rPr>
            </w:pPr>
            <w:r>
              <w:rPr>
                <w:rFonts w:ascii="Arial" w:cs="Arial" w:eastAsia="Arial" w:hAnsi="Arial"/>
                <w:sz w:val="18"/>
                <w:szCs w:val="18"/>
                <w:color w:val="auto"/>
              </w:rPr>
              <w:t>Form 8-K</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02/09/2005</w:t>
            </w:r>
          </w:p>
        </w:tc>
        <w:tc>
          <w:tcPr>
            <w:tcW w:w="900" w:type="dxa"/>
            <w:vAlign w:val="bottom"/>
          </w:tcPr>
          <w:p>
            <w:pPr>
              <w:jc w:val="center"/>
              <w:ind w:left="410"/>
              <w:spacing w:after="0"/>
              <w:rPr>
                <w:sz w:val="20"/>
                <w:szCs w:val="20"/>
                <w:color w:val="auto"/>
              </w:rPr>
            </w:pPr>
            <w:r>
              <w:rPr>
                <w:rFonts w:ascii="Arial" w:cs="Arial" w:eastAsia="Arial" w:hAnsi="Arial"/>
                <w:sz w:val="18"/>
                <w:szCs w:val="18"/>
                <w:color w:val="auto"/>
                <w:w w:val="91"/>
              </w:rPr>
              <w:t>10.2</w:t>
            </w:r>
          </w:p>
        </w:tc>
      </w:tr>
      <w:tr>
        <w:trPr>
          <w:trHeight w:val="716"/>
        </w:trPr>
        <w:tc>
          <w:tcPr>
            <w:tcW w:w="2120" w:type="dxa"/>
            <w:vAlign w:val="bottom"/>
          </w:tcPr>
          <w:p>
            <w:pPr>
              <w:spacing w:after="0"/>
              <w:rPr>
                <w:sz w:val="20"/>
                <w:szCs w:val="20"/>
                <w:color w:val="auto"/>
              </w:rPr>
            </w:pPr>
            <w:r>
              <w:rPr>
                <w:rFonts w:ascii="Arial" w:cs="Arial" w:eastAsia="Arial" w:hAnsi="Arial"/>
                <w:sz w:val="18"/>
                <w:szCs w:val="18"/>
                <w:color w:val="auto"/>
              </w:rPr>
              <w:t>Form 8-K</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12/28/2005</w:t>
            </w:r>
          </w:p>
        </w:tc>
        <w:tc>
          <w:tcPr>
            <w:tcW w:w="900" w:type="dxa"/>
            <w:vAlign w:val="bottom"/>
          </w:tcPr>
          <w:p>
            <w:pPr>
              <w:jc w:val="center"/>
              <w:ind w:left="410"/>
              <w:spacing w:after="0"/>
              <w:rPr>
                <w:sz w:val="20"/>
                <w:szCs w:val="20"/>
                <w:color w:val="auto"/>
              </w:rPr>
            </w:pPr>
            <w:r>
              <w:rPr>
                <w:rFonts w:ascii="Arial" w:cs="Arial" w:eastAsia="Arial" w:hAnsi="Arial"/>
                <w:sz w:val="18"/>
                <w:szCs w:val="18"/>
                <w:color w:val="auto"/>
                <w:w w:val="91"/>
              </w:rPr>
              <w:t>10.1</w:t>
            </w:r>
          </w:p>
        </w:tc>
      </w:tr>
      <w:tr>
        <w:trPr>
          <w:trHeight w:val="716"/>
        </w:trPr>
        <w:tc>
          <w:tcPr>
            <w:tcW w:w="2120" w:type="dxa"/>
            <w:vAlign w:val="bottom"/>
          </w:tcPr>
          <w:p>
            <w:pPr>
              <w:spacing w:after="0"/>
              <w:rPr>
                <w:sz w:val="20"/>
                <w:szCs w:val="20"/>
                <w:color w:val="auto"/>
              </w:rPr>
            </w:pPr>
            <w:r>
              <w:rPr>
                <w:rFonts w:ascii="Arial" w:cs="Arial" w:eastAsia="Arial" w:hAnsi="Arial"/>
                <w:sz w:val="18"/>
                <w:szCs w:val="18"/>
                <w:color w:val="auto"/>
              </w:rPr>
              <w:t>Form 8-K</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12/19/2005</w:t>
            </w:r>
          </w:p>
        </w:tc>
        <w:tc>
          <w:tcPr>
            <w:tcW w:w="900" w:type="dxa"/>
            <w:vAlign w:val="bottom"/>
          </w:tcPr>
          <w:p>
            <w:pPr>
              <w:jc w:val="center"/>
              <w:ind w:left="410"/>
              <w:spacing w:after="0"/>
              <w:rPr>
                <w:sz w:val="20"/>
                <w:szCs w:val="20"/>
                <w:color w:val="auto"/>
              </w:rPr>
            </w:pPr>
            <w:r>
              <w:rPr>
                <w:rFonts w:ascii="Arial" w:cs="Arial" w:eastAsia="Arial" w:hAnsi="Arial"/>
                <w:sz w:val="18"/>
                <w:szCs w:val="18"/>
                <w:color w:val="auto"/>
                <w:w w:val="91"/>
              </w:rPr>
              <w:t>10.1</w:t>
            </w: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Form 8-K</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10/11/2005</w:t>
            </w:r>
          </w:p>
        </w:tc>
        <w:tc>
          <w:tcPr>
            <w:tcW w:w="980" w:type="dxa"/>
            <w:vAlign w:val="bottom"/>
          </w:tcPr>
          <w:p>
            <w:pPr>
              <w:jc w:val="center"/>
              <w:ind w:left="370"/>
              <w:spacing w:after="0"/>
              <w:rPr>
                <w:sz w:val="20"/>
                <w:szCs w:val="20"/>
                <w:color w:val="auto"/>
              </w:rPr>
            </w:pPr>
            <w:r>
              <w:rPr>
                <w:rFonts w:ascii="Arial" w:cs="Arial" w:eastAsia="Arial" w:hAnsi="Arial"/>
                <w:sz w:val="18"/>
                <w:szCs w:val="18"/>
                <w:color w:val="auto"/>
                <w:w w:val="91"/>
              </w:rPr>
              <w:t>10.1</w:t>
            </w:r>
          </w:p>
        </w:tc>
      </w:tr>
      <w:tr>
        <w:trPr>
          <w:trHeight w:val="701"/>
        </w:trPr>
        <w:tc>
          <w:tcPr>
            <w:tcW w:w="230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12/28/2000</w:t>
            </w:r>
          </w:p>
        </w:tc>
        <w:tc>
          <w:tcPr>
            <w:tcW w:w="980" w:type="dxa"/>
            <w:vAlign w:val="bottom"/>
          </w:tcPr>
          <w:p>
            <w:pPr>
              <w:jc w:val="center"/>
              <w:ind w:left="350"/>
              <w:spacing w:after="0"/>
              <w:rPr>
                <w:sz w:val="20"/>
                <w:szCs w:val="20"/>
                <w:color w:val="auto"/>
              </w:rPr>
            </w:pPr>
            <w:r>
              <w:rPr>
                <w:rFonts w:ascii="Arial" w:cs="Arial" w:eastAsia="Arial" w:hAnsi="Arial"/>
                <w:sz w:val="18"/>
                <w:szCs w:val="18"/>
                <w:color w:val="auto"/>
                <w:w w:val="93"/>
              </w:rPr>
              <w:t>10.13</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No. 333-49932)</w:t>
            </w: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9"/>
        </w:trPr>
        <w:tc>
          <w:tcPr>
            <w:tcW w:w="2300" w:type="dxa"/>
            <w:vAlign w:val="bottom"/>
          </w:tcPr>
          <w:p>
            <w:pPr>
              <w:spacing w:after="0"/>
              <w:rPr>
                <w:sz w:val="20"/>
                <w:szCs w:val="20"/>
                <w:color w:val="auto"/>
              </w:rPr>
            </w:pPr>
            <w:r>
              <w:rPr>
                <w:rFonts w:ascii="Arial" w:cs="Arial" w:eastAsia="Arial" w:hAnsi="Arial"/>
                <w:sz w:val="18"/>
                <w:szCs w:val="18"/>
                <w:color w:val="auto"/>
              </w:rPr>
              <w:t>Form 10-Q for quarter</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11/05/2004</w:t>
            </w:r>
          </w:p>
        </w:tc>
        <w:tc>
          <w:tcPr>
            <w:tcW w:w="980" w:type="dxa"/>
            <w:vAlign w:val="bottom"/>
          </w:tcPr>
          <w:p>
            <w:pPr>
              <w:jc w:val="center"/>
              <w:ind w:left="350"/>
              <w:spacing w:after="0"/>
              <w:rPr>
                <w:sz w:val="20"/>
                <w:szCs w:val="20"/>
                <w:color w:val="auto"/>
              </w:rPr>
            </w:pPr>
            <w:r>
              <w:rPr>
                <w:rFonts w:ascii="Arial" w:cs="Arial" w:eastAsia="Arial" w:hAnsi="Arial"/>
                <w:sz w:val="18"/>
                <w:szCs w:val="18"/>
                <w:color w:val="auto"/>
                <w:w w:val="89"/>
              </w:rPr>
              <w:t>10.13.1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ended September 30,</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2004</w:t>
            </w: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9"/>
        </w:trPr>
        <w:tc>
          <w:tcPr>
            <w:tcW w:w="230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12/28/2000</w:t>
            </w:r>
          </w:p>
        </w:tc>
        <w:tc>
          <w:tcPr>
            <w:tcW w:w="980" w:type="dxa"/>
            <w:vAlign w:val="bottom"/>
          </w:tcPr>
          <w:p>
            <w:pPr>
              <w:jc w:val="center"/>
              <w:ind w:left="350"/>
              <w:spacing w:after="0"/>
              <w:rPr>
                <w:sz w:val="20"/>
                <w:szCs w:val="20"/>
                <w:color w:val="auto"/>
              </w:rPr>
            </w:pPr>
            <w:r>
              <w:rPr>
                <w:rFonts w:ascii="Arial" w:cs="Arial" w:eastAsia="Arial" w:hAnsi="Arial"/>
                <w:sz w:val="18"/>
                <w:szCs w:val="18"/>
                <w:color w:val="auto"/>
                <w:w w:val="93"/>
              </w:rPr>
              <w:t>10.14</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No. 333-49932)</w:t>
            </w: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9"/>
        </w:trPr>
        <w:tc>
          <w:tcPr>
            <w:tcW w:w="230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01/17/2001</w:t>
            </w:r>
          </w:p>
        </w:tc>
        <w:tc>
          <w:tcPr>
            <w:tcW w:w="980" w:type="dxa"/>
            <w:vAlign w:val="bottom"/>
          </w:tcPr>
          <w:p>
            <w:pPr>
              <w:jc w:val="center"/>
              <w:ind w:left="350"/>
              <w:spacing w:after="0"/>
              <w:rPr>
                <w:sz w:val="20"/>
                <w:szCs w:val="20"/>
                <w:color w:val="auto"/>
              </w:rPr>
            </w:pPr>
            <w:r>
              <w:rPr>
                <w:rFonts w:ascii="Arial" w:cs="Arial" w:eastAsia="Arial" w:hAnsi="Arial"/>
                <w:sz w:val="18"/>
                <w:szCs w:val="18"/>
                <w:color w:val="auto"/>
                <w:w w:val="93"/>
              </w:rPr>
              <w:t>10.15</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No. 333-49932)</w:t>
            </w: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756"/>
        </w:trPr>
        <w:tc>
          <w:tcPr>
            <w:tcW w:w="2300" w:type="dxa"/>
            <w:vAlign w:val="bottom"/>
          </w:tcPr>
          <w:p>
            <w:pPr>
              <w:ind w:left="460"/>
              <w:spacing w:after="0"/>
              <w:rPr>
                <w:sz w:val="20"/>
                <w:szCs w:val="20"/>
                <w:color w:val="auto"/>
              </w:rPr>
            </w:pPr>
            <w:r>
              <w:rPr>
                <w:rFonts w:ascii="Arial" w:cs="Arial" w:eastAsia="Arial" w:hAnsi="Arial"/>
                <w:sz w:val="18"/>
                <w:szCs w:val="18"/>
                <w:color w:val="auto"/>
              </w:rPr>
              <w:t>97</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220980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240"/>
            <w:col w:w="5880"/>
          </w:cols>
          <w:pgMar w:left="240" w:top="125" w:right="619" w:bottom="2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4040" w:type="dxa"/>
            <w:vAlign w:val="bottom"/>
          </w:tcPr>
          <w:p>
            <w:pPr>
              <w:ind w:left="260"/>
              <w:spacing w:after="0"/>
              <w:rPr>
                <w:sz w:val="20"/>
                <w:szCs w:val="20"/>
                <w:color w:val="auto"/>
              </w:rPr>
            </w:pPr>
            <w:r>
              <w:rPr>
                <w:rFonts w:ascii="Arial" w:cs="Arial" w:eastAsia="Arial" w:hAnsi="Arial"/>
                <w:sz w:val="18"/>
                <w:szCs w:val="18"/>
                <w:color w:val="auto"/>
              </w:rPr>
              <w:t>Amended and restated 2005 Incentive Plan</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10.14A†</w:t>
            </w:r>
          </w:p>
        </w:tc>
        <w:tc>
          <w:tcPr>
            <w:tcW w:w="4040" w:type="dxa"/>
            <w:vAlign w:val="bottom"/>
          </w:tcPr>
          <w:p>
            <w:pPr>
              <w:ind w:left="260"/>
              <w:spacing w:after="0"/>
              <w:rPr>
                <w:sz w:val="20"/>
                <w:szCs w:val="20"/>
                <w:color w:val="auto"/>
              </w:rPr>
            </w:pPr>
            <w:r>
              <w:rPr>
                <w:rFonts w:ascii="Arial" w:cs="Arial" w:eastAsia="Arial" w:hAnsi="Arial"/>
                <w:sz w:val="18"/>
                <w:szCs w:val="18"/>
                <w:color w:val="auto"/>
                <w:w w:val="89"/>
              </w:rPr>
              <w:t>Form of restricted stock unit award agreement under</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4"/>
              </w:rPr>
              <w:t>registrant’s 2005 Incentive Plan (General Form;</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Officer Form: Director Form)</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10.14B†</w:t>
            </w:r>
          </w:p>
        </w:tc>
        <w:tc>
          <w:tcPr>
            <w:tcW w:w="4040" w:type="dxa"/>
            <w:vAlign w:val="bottom"/>
          </w:tcPr>
          <w:p>
            <w:pPr>
              <w:ind w:left="260"/>
              <w:spacing w:after="0"/>
              <w:rPr>
                <w:sz w:val="20"/>
                <w:szCs w:val="20"/>
                <w:color w:val="auto"/>
              </w:rPr>
            </w:pPr>
            <w:r>
              <w:rPr>
                <w:rFonts w:ascii="Arial" w:cs="Arial" w:eastAsia="Arial" w:hAnsi="Arial"/>
                <w:sz w:val="18"/>
                <w:szCs w:val="18"/>
                <w:color w:val="auto"/>
                <w:w w:val="92"/>
              </w:rPr>
              <w:t>Form of option award agreement under registrant’s</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2005 Incentive Plan</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10.14C†</w:t>
            </w:r>
          </w:p>
        </w:tc>
        <w:tc>
          <w:tcPr>
            <w:tcW w:w="4040" w:type="dxa"/>
            <w:vAlign w:val="bottom"/>
          </w:tcPr>
          <w:p>
            <w:pPr>
              <w:ind w:left="260"/>
              <w:spacing w:after="0"/>
              <w:rPr>
                <w:sz w:val="20"/>
                <w:szCs w:val="20"/>
                <w:color w:val="auto"/>
              </w:rPr>
            </w:pPr>
            <w:r>
              <w:rPr>
                <w:rFonts w:ascii="Arial" w:cs="Arial" w:eastAsia="Arial" w:hAnsi="Arial"/>
                <w:sz w:val="18"/>
                <w:szCs w:val="18"/>
                <w:color w:val="auto"/>
                <w:w w:val="89"/>
              </w:rPr>
              <w:t>Form of restricted stock unit award agreement under</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3"/>
              </w:rPr>
              <w:t>registrant’s 2005 Incentive Plan with Thomas M.</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Prescott</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10.14D†</w:t>
            </w:r>
          </w:p>
        </w:tc>
        <w:tc>
          <w:tcPr>
            <w:tcW w:w="4040" w:type="dxa"/>
            <w:vAlign w:val="bottom"/>
          </w:tcPr>
          <w:p>
            <w:pPr>
              <w:ind w:left="260"/>
              <w:spacing w:after="0"/>
              <w:rPr>
                <w:sz w:val="20"/>
                <w:szCs w:val="20"/>
                <w:color w:val="auto"/>
              </w:rPr>
            </w:pPr>
            <w:r>
              <w:rPr>
                <w:rFonts w:ascii="Arial" w:cs="Arial" w:eastAsia="Arial" w:hAnsi="Arial"/>
                <w:sz w:val="18"/>
                <w:szCs w:val="18"/>
                <w:color w:val="auto"/>
              </w:rPr>
              <w:t>Form of restricted stock unit award agreement</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9"/>
              </w:rPr>
              <w:t>amendment under registrant’s 2005 Incentive</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Plan with Thomas M. Prescott</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4040" w:type="dxa"/>
            <w:vAlign w:val="bottom"/>
          </w:tcPr>
          <w:p>
            <w:pPr>
              <w:ind w:left="260"/>
              <w:spacing w:after="0"/>
              <w:rPr>
                <w:sz w:val="20"/>
                <w:szCs w:val="20"/>
                <w:color w:val="auto"/>
              </w:rPr>
            </w:pPr>
            <w:r>
              <w:rPr>
                <w:rFonts w:ascii="Arial" w:cs="Arial" w:eastAsia="Arial" w:hAnsi="Arial"/>
                <w:sz w:val="18"/>
                <w:szCs w:val="18"/>
                <w:color w:val="auto"/>
                <w:w w:val="97"/>
              </w:rPr>
              <w:t>Amended and Restated Employment Agreement</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dated April 19, 2005 between Thomas M.</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Prescott and registrant.</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4040" w:type="dxa"/>
            <w:vAlign w:val="bottom"/>
          </w:tcPr>
          <w:p>
            <w:pPr>
              <w:ind w:left="260"/>
              <w:spacing w:after="0"/>
              <w:rPr>
                <w:sz w:val="20"/>
                <w:szCs w:val="20"/>
                <w:color w:val="auto"/>
              </w:rPr>
            </w:pPr>
            <w:r>
              <w:rPr>
                <w:rFonts w:ascii="Arial" w:cs="Arial" w:eastAsia="Arial" w:hAnsi="Arial"/>
                <w:sz w:val="18"/>
                <w:szCs w:val="18"/>
                <w:color w:val="auto"/>
                <w:w w:val="97"/>
              </w:rPr>
              <w:t>Employment Offer Letter dated July 10, 2002 for</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2"/>
              </w:rPr>
              <w:t>Roger E. George, Vice-President of Legal Affairs</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and General Counsel.</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Form 10-K</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03/01/2006</w:t>
            </w:r>
          </w:p>
        </w:tc>
        <w:tc>
          <w:tcPr>
            <w:tcW w:w="980" w:type="dxa"/>
            <w:vAlign w:val="bottom"/>
          </w:tcPr>
          <w:p>
            <w:pPr>
              <w:jc w:val="center"/>
              <w:ind w:left="350"/>
              <w:spacing w:after="0"/>
              <w:rPr>
                <w:sz w:val="20"/>
                <w:szCs w:val="20"/>
                <w:color w:val="auto"/>
              </w:rPr>
            </w:pPr>
            <w:r>
              <w:rPr>
                <w:rFonts w:ascii="Arial" w:cs="Arial" w:eastAsia="Arial" w:hAnsi="Arial"/>
                <w:sz w:val="18"/>
                <w:szCs w:val="18"/>
                <w:color w:val="auto"/>
                <w:w w:val="94"/>
              </w:rPr>
              <w:t>10.14B</w:t>
            </w:r>
          </w:p>
        </w:tc>
      </w:tr>
      <w:tr>
        <w:trPr>
          <w:trHeight w:val="716"/>
        </w:trPr>
        <w:tc>
          <w:tcPr>
            <w:tcW w:w="1720" w:type="dxa"/>
            <w:vAlign w:val="bottom"/>
          </w:tcPr>
          <w:p>
            <w:pPr>
              <w:spacing w:after="0"/>
              <w:rPr>
                <w:sz w:val="20"/>
                <w:szCs w:val="20"/>
                <w:color w:val="auto"/>
              </w:rPr>
            </w:pPr>
            <w:r>
              <w:rPr>
                <w:rFonts w:ascii="Arial" w:cs="Arial" w:eastAsia="Arial" w:hAnsi="Arial"/>
                <w:sz w:val="18"/>
                <w:szCs w:val="18"/>
                <w:color w:val="auto"/>
              </w:rPr>
              <w:t>Form 10-Q</w:t>
            </w:r>
          </w:p>
        </w:tc>
        <w:tc>
          <w:tcPr>
            <w:tcW w:w="2180" w:type="dxa"/>
            <w:vAlign w:val="bottom"/>
          </w:tcPr>
          <w:p>
            <w:pPr>
              <w:jc w:val="right"/>
              <w:ind w:right="370"/>
              <w:spacing w:after="0"/>
              <w:rPr>
                <w:sz w:val="20"/>
                <w:szCs w:val="20"/>
                <w:color w:val="auto"/>
              </w:rPr>
            </w:pPr>
            <w:r>
              <w:rPr>
                <w:rFonts w:ascii="Arial" w:cs="Arial" w:eastAsia="Arial" w:hAnsi="Arial"/>
                <w:sz w:val="18"/>
                <w:szCs w:val="18"/>
                <w:color w:val="auto"/>
              </w:rPr>
              <w:t>08/04/2005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w:t>
            </w:r>
          </w:p>
        </w:tc>
      </w:tr>
    </w:tbl>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Form 8-K</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04/19/2005</w:t>
            </w: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701"/>
        </w:trPr>
        <w:tc>
          <w:tcPr>
            <w:tcW w:w="2120" w:type="dxa"/>
            <w:vAlign w:val="bottom"/>
          </w:tcPr>
          <w:p>
            <w:pPr>
              <w:spacing w:after="0"/>
              <w:rPr>
                <w:sz w:val="20"/>
                <w:szCs w:val="20"/>
                <w:color w:val="auto"/>
              </w:rPr>
            </w:pPr>
            <w:r>
              <w:rPr>
                <w:rFonts w:ascii="Arial" w:cs="Arial" w:eastAsia="Arial" w:hAnsi="Arial"/>
                <w:sz w:val="18"/>
                <w:szCs w:val="18"/>
                <w:color w:val="auto"/>
              </w:rPr>
              <w:t>Form 10-Q for quarter</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11/14/2002</w:t>
            </w:r>
          </w:p>
        </w:tc>
        <w:tc>
          <w:tcPr>
            <w:tcW w:w="90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ended September 30,</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2002</w:t>
            </w:r>
          </w:p>
        </w:tc>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ectPr>
          <w:pgSz w:w="11900" w:h="16838" w:orient="portrait"/>
          <w:cols w:equalWidth="0" w:num="2">
            <w:col w:w="4920" w:space="240"/>
            <w:col w:w="5880"/>
          </w:cols>
          <w:pgMar w:left="240" w:top="125" w:right="619" w:bottom="252" w:gutter="0" w:footer="0" w:header="0"/>
          <w:type w:val="continuous"/>
        </w:sectPr>
      </w:pPr>
    </w:p>
    <w:bookmarkStart w:id="55" w:name="page56"/>
    <w:bookmarkEnd w:id="55"/>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4080" w:type="dxa"/>
            <w:vAlign w:val="bottom"/>
          </w:tcPr>
          <w:p>
            <w:pPr>
              <w:ind w:left="320"/>
              <w:spacing w:after="0"/>
              <w:rPr>
                <w:sz w:val="20"/>
                <w:szCs w:val="20"/>
                <w:color w:val="auto"/>
              </w:rPr>
            </w:pPr>
            <w:r>
              <w:rPr>
                <w:rFonts w:ascii="Arial" w:cs="Arial" w:eastAsia="Arial" w:hAnsi="Arial"/>
                <w:sz w:val="18"/>
                <w:szCs w:val="18"/>
                <w:color w:val="auto"/>
                <w:w w:val="91"/>
              </w:rPr>
              <w:t>Employment Offer Letter dated August 22, 2002 for</w:t>
            </w:r>
          </w:p>
        </w:tc>
      </w:tr>
      <w:tr>
        <w:trPr>
          <w:trHeight w:val="216"/>
        </w:trPr>
        <w:tc>
          <w:tcPr>
            <w:tcW w:w="820" w:type="dxa"/>
            <w:vAlign w:val="bottom"/>
          </w:tcPr>
          <w:p>
            <w:pPr>
              <w:spacing w:after="0"/>
              <w:rPr>
                <w:sz w:val="18"/>
                <w:szCs w:val="18"/>
                <w:color w:val="auto"/>
              </w:rPr>
            </w:pPr>
          </w:p>
        </w:tc>
        <w:tc>
          <w:tcPr>
            <w:tcW w:w="4080" w:type="dxa"/>
            <w:vAlign w:val="bottom"/>
          </w:tcPr>
          <w:p>
            <w:pPr>
              <w:ind w:left="500"/>
              <w:spacing w:after="0"/>
              <w:rPr>
                <w:sz w:val="20"/>
                <w:szCs w:val="20"/>
                <w:color w:val="auto"/>
              </w:rPr>
            </w:pPr>
            <w:r>
              <w:rPr>
                <w:rFonts w:ascii="Arial" w:cs="Arial" w:eastAsia="Arial" w:hAnsi="Arial"/>
                <w:sz w:val="18"/>
                <w:szCs w:val="18"/>
                <w:color w:val="auto"/>
                <w:w w:val="94"/>
              </w:rPr>
              <w:t>Eldon M. Bullington, Chief Financial Officer and</w:t>
            </w:r>
          </w:p>
        </w:tc>
      </w:tr>
      <w:tr>
        <w:trPr>
          <w:trHeight w:val="230"/>
        </w:trPr>
        <w:tc>
          <w:tcPr>
            <w:tcW w:w="820" w:type="dxa"/>
            <w:vAlign w:val="bottom"/>
          </w:tcPr>
          <w:p>
            <w:pPr>
              <w:spacing w:after="0"/>
              <w:rPr>
                <w:sz w:val="20"/>
                <w:szCs w:val="20"/>
                <w:color w:val="auto"/>
              </w:rPr>
            </w:pPr>
          </w:p>
        </w:tc>
        <w:tc>
          <w:tcPr>
            <w:tcW w:w="4080" w:type="dxa"/>
            <w:vAlign w:val="bottom"/>
          </w:tcPr>
          <w:p>
            <w:pPr>
              <w:ind w:left="500"/>
              <w:spacing w:after="0"/>
              <w:rPr>
                <w:sz w:val="20"/>
                <w:szCs w:val="20"/>
                <w:color w:val="auto"/>
              </w:rPr>
            </w:pPr>
            <w:r>
              <w:rPr>
                <w:rFonts w:ascii="Arial" w:cs="Arial" w:eastAsia="Arial" w:hAnsi="Arial"/>
                <w:sz w:val="18"/>
                <w:szCs w:val="18"/>
                <w:color w:val="auto"/>
              </w:rPr>
              <w:t>Vice-President, Finance.</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4080" w:type="dxa"/>
            <w:vAlign w:val="bottom"/>
          </w:tcPr>
          <w:p>
            <w:pPr>
              <w:ind w:left="320"/>
              <w:spacing w:after="0"/>
              <w:rPr>
                <w:sz w:val="20"/>
                <w:szCs w:val="20"/>
                <w:color w:val="auto"/>
              </w:rPr>
            </w:pPr>
            <w:r>
              <w:rPr>
                <w:rFonts w:ascii="Arial" w:cs="Arial" w:eastAsia="Arial" w:hAnsi="Arial"/>
                <w:sz w:val="18"/>
                <w:szCs w:val="18"/>
                <w:color w:val="auto"/>
                <w:w w:val="97"/>
              </w:rPr>
              <w:t>Form of Employment Agreement entered into by</w:t>
            </w:r>
          </w:p>
        </w:tc>
      </w:tr>
      <w:tr>
        <w:trPr>
          <w:trHeight w:val="216"/>
        </w:trPr>
        <w:tc>
          <w:tcPr>
            <w:tcW w:w="820" w:type="dxa"/>
            <w:vAlign w:val="bottom"/>
          </w:tcPr>
          <w:p>
            <w:pPr>
              <w:spacing w:after="0"/>
              <w:rPr>
                <w:sz w:val="18"/>
                <w:szCs w:val="18"/>
                <w:color w:val="auto"/>
              </w:rPr>
            </w:pPr>
          </w:p>
        </w:tc>
        <w:tc>
          <w:tcPr>
            <w:tcW w:w="4080" w:type="dxa"/>
            <w:vAlign w:val="bottom"/>
          </w:tcPr>
          <w:p>
            <w:pPr>
              <w:ind w:left="500"/>
              <w:spacing w:after="0"/>
              <w:rPr>
                <w:sz w:val="20"/>
                <w:szCs w:val="20"/>
                <w:color w:val="auto"/>
              </w:rPr>
            </w:pPr>
            <w:r>
              <w:rPr>
                <w:rFonts w:ascii="Arial" w:cs="Arial" w:eastAsia="Arial" w:hAnsi="Arial"/>
                <w:sz w:val="18"/>
                <w:szCs w:val="18"/>
                <w:color w:val="auto"/>
                <w:w w:val="98"/>
              </w:rPr>
              <w:t>and between registrant and each of Dan Ellis,</w:t>
            </w:r>
          </w:p>
        </w:tc>
      </w:tr>
      <w:tr>
        <w:trPr>
          <w:trHeight w:val="216"/>
        </w:trPr>
        <w:tc>
          <w:tcPr>
            <w:tcW w:w="820" w:type="dxa"/>
            <w:vAlign w:val="bottom"/>
          </w:tcPr>
          <w:p>
            <w:pPr>
              <w:spacing w:after="0"/>
              <w:rPr>
                <w:sz w:val="18"/>
                <w:szCs w:val="18"/>
                <w:color w:val="auto"/>
              </w:rPr>
            </w:pPr>
          </w:p>
        </w:tc>
        <w:tc>
          <w:tcPr>
            <w:tcW w:w="4080" w:type="dxa"/>
            <w:vAlign w:val="bottom"/>
          </w:tcPr>
          <w:p>
            <w:pPr>
              <w:ind w:left="500"/>
              <w:spacing w:after="0"/>
              <w:rPr>
                <w:sz w:val="20"/>
                <w:szCs w:val="20"/>
                <w:color w:val="auto"/>
              </w:rPr>
            </w:pPr>
            <w:r>
              <w:rPr>
                <w:rFonts w:ascii="Arial" w:cs="Arial" w:eastAsia="Arial" w:hAnsi="Arial"/>
                <w:sz w:val="18"/>
                <w:szCs w:val="18"/>
                <w:color w:val="auto"/>
                <w:w w:val="96"/>
              </w:rPr>
              <w:t>Darrell Zoromski,, Hossein Arjomand, Gil Laks</w:t>
            </w:r>
          </w:p>
        </w:tc>
      </w:tr>
      <w:tr>
        <w:trPr>
          <w:trHeight w:val="230"/>
        </w:trPr>
        <w:tc>
          <w:tcPr>
            <w:tcW w:w="820" w:type="dxa"/>
            <w:vAlign w:val="bottom"/>
          </w:tcPr>
          <w:p>
            <w:pPr>
              <w:spacing w:after="0"/>
              <w:rPr>
                <w:sz w:val="20"/>
                <w:szCs w:val="20"/>
                <w:color w:val="auto"/>
              </w:rPr>
            </w:pPr>
          </w:p>
        </w:tc>
        <w:tc>
          <w:tcPr>
            <w:tcW w:w="4080" w:type="dxa"/>
            <w:vAlign w:val="bottom"/>
          </w:tcPr>
          <w:p>
            <w:pPr>
              <w:ind w:left="500"/>
              <w:spacing w:after="0"/>
              <w:rPr>
                <w:sz w:val="20"/>
                <w:szCs w:val="20"/>
                <w:color w:val="auto"/>
              </w:rPr>
            </w:pPr>
            <w:r>
              <w:rPr>
                <w:rFonts w:ascii="Arial" w:cs="Arial" w:eastAsia="Arial" w:hAnsi="Arial"/>
                <w:sz w:val="18"/>
                <w:szCs w:val="18"/>
                <w:color w:val="auto"/>
              </w:rPr>
              <w:t>and Michael Henry</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4080" w:type="dxa"/>
            <w:vAlign w:val="bottom"/>
          </w:tcPr>
          <w:p>
            <w:pPr>
              <w:ind w:left="320"/>
              <w:spacing w:after="0"/>
              <w:rPr>
                <w:sz w:val="20"/>
                <w:szCs w:val="20"/>
                <w:color w:val="auto"/>
              </w:rPr>
            </w:pPr>
            <w:r>
              <w:rPr>
                <w:rFonts w:ascii="Arial" w:cs="Arial" w:eastAsia="Arial" w:hAnsi="Arial"/>
                <w:sz w:val="18"/>
                <w:szCs w:val="18"/>
                <w:color w:val="auto"/>
                <w:w w:val="94"/>
              </w:rPr>
              <w:t>Form of Employment Agreement with Sonia Clark</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4080" w:type="dxa"/>
            <w:vAlign w:val="bottom"/>
          </w:tcPr>
          <w:p>
            <w:pPr>
              <w:ind w:left="320"/>
              <w:spacing w:after="0"/>
              <w:rPr>
                <w:sz w:val="20"/>
                <w:szCs w:val="20"/>
                <w:color w:val="auto"/>
              </w:rPr>
            </w:pPr>
            <w:r>
              <w:rPr>
                <w:rFonts w:ascii="Arial" w:cs="Arial" w:eastAsia="Arial" w:hAnsi="Arial"/>
                <w:sz w:val="18"/>
                <w:szCs w:val="18"/>
                <w:color w:val="auto"/>
                <w:w w:val="89"/>
              </w:rPr>
              <w:t>Lease Agreement dated February 26, 2003 between</w:t>
            </w:r>
          </w:p>
        </w:tc>
      </w:tr>
      <w:tr>
        <w:trPr>
          <w:trHeight w:val="216"/>
        </w:trPr>
        <w:tc>
          <w:tcPr>
            <w:tcW w:w="820" w:type="dxa"/>
            <w:vAlign w:val="bottom"/>
          </w:tcPr>
          <w:p>
            <w:pPr>
              <w:spacing w:after="0"/>
              <w:rPr>
                <w:sz w:val="18"/>
                <w:szCs w:val="18"/>
                <w:color w:val="auto"/>
              </w:rPr>
            </w:pPr>
          </w:p>
        </w:tc>
        <w:tc>
          <w:tcPr>
            <w:tcW w:w="4080" w:type="dxa"/>
            <w:vAlign w:val="bottom"/>
          </w:tcPr>
          <w:p>
            <w:pPr>
              <w:ind w:left="500"/>
              <w:spacing w:after="0"/>
              <w:rPr>
                <w:sz w:val="20"/>
                <w:szCs w:val="20"/>
                <w:color w:val="auto"/>
              </w:rPr>
            </w:pPr>
            <w:r>
              <w:rPr>
                <w:rFonts w:ascii="Arial" w:cs="Arial" w:eastAsia="Arial" w:hAnsi="Arial"/>
                <w:sz w:val="18"/>
                <w:szCs w:val="18"/>
                <w:color w:val="auto"/>
                <w:w w:val="98"/>
              </w:rPr>
              <w:t>KPMG FIDES (COSTA RICA) S.A., PARQUE</w:t>
            </w:r>
          </w:p>
        </w:tc>
      </w:tr>
      <w:tr>
        <w:trPr>
          <w:trHeight w:val="230"/>
        </w:trPr>
        <w:tc>
          <w:tcPr>
            <w:tcW w:w="820" w:type="dxa"/>
            <w:vAlign w:val="bottom"/>
          </w:tcPr>
          <w:p>
            <w:pPr>
              <w:spacing w:after="0"/>
              <w:rPr>
                <w:sz w:val="20"/>
                <w:szCs w:val="20"/>
                <w:color w:val="auto"/>
              </w:rPr>
            </w:pPr>
          </w:p>
        </w:tc>
        <w:tc>
          <w:tcPr>
            <w:tcW w:w="4080" w:type="dxa"/>
            <w:vAlign w:val="bottom"/>
          </w:tcPr>
          <w:p>
            <w:pPr>
              <w:ind w:left="500"/>
              <w:spacing w:after="0"/>
              <w:rPr>
                <w:sz w:val="20"/>
                <w:szCs w:val="20"/>
                <w:color w:val="auto"/>
              </w:rPr>
            </w:pPr>
            <w:r>
              <w:rPr>
                <w:rFonts w:ascii="Arial" w:cs="Arial" w:eastAsia="Arial" w:hAnsi="Arial"/>
                <w:sz w:val="18"/>
                <w:szCs w:val="18"/>
                <w:color w:val="auto"/>
              </w:rPr>
              <w:t>GLOBAL S.A. and registrant.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Form 10-Q for quarter</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11/14/2002</w:t>
            </w:r>
          </w:p>
        </w:tc>
        <w:tc>
          <w:tcPr>
            <w:tcW w:w="90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ended September 30,</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2002</w:t>
            </w:r>
          </w:p>
        </w:tc>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4"/>
        </w:trPr>
        <w:tc>
          <w:tcPr>
            <w:tcW w:w="2120" w:type="dxa"/>
            <w:vAlign w:val="bottom"/>
          </w:tcPr>
          <w:p>
            <w:pPr>
              <w:spacing w:after="0"/>
              <w:rPr>
                <w:sz w:val="20"/>
                <w:szCs w:val="20"/>
                <w:color w:val="auto"/>
              </w:rPr>
            </w:pPr>
            <w:r>
              <w:rPr>
                <w:rFonts w:ascii="Arial" w:cs="Arial" w:eastAsia="Arial" w:hAnsi="Arial"/>
                <w:sz w:val="18"/>
                <w:szCs w:val="18"/>
                <w:color w:val="auto"/>
              </w:rPr>
              <w:t>Form 10-K</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03/01/2006</w:t>
            </w:r>
          </w:p>
        </w:tc>
        <w:tc>
          <w:tcPr>
            <w:tcW w:w="90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932"/>
        </w:trPr>
        <w:tc>
          <w:tcPr>
            <w:tcW w:w="2120" w:type="dxa"/>
            <w:vAlign w:val="bottom"/>
          </w:tcPr>
          <w:p>
            <w:pPr>
              <w:spacing w:after="0"/>
              <w:rPr>
                <w:sz w:val="20"/>
                <w:szCs w:val="20"/>
                <w:color w:val="auto"/>
              </w:rPr>
            </w:pPr>
            <w:r>
              <w:rPr>
                <w:rFonts w:ascii="Arial" w:cs="Arial" w:eastAsia="Arial" w:hAnsi="Arial"/>
                <w:sz w:val="18"/>
                <w:szCs w:val="18"/>
                <w:color w:val="auto"/>
              </w:rPr>
              <w:t>Form 8-K</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09/25/2006</w:t>
            </w:r>
          </w:p>
        </w:tc>
        <w:tc>
          <w:tcPr>
            <w:tcW w:w="90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69"/>
        </w:trPr>
        <w:tc>
          <w:tcPr>
            <w:tcW w:w="2120" w:type="dxa"/>
            <w:vAlign w:val="bottom"/>
          </w:tcPr>
          <w:p>
            <w:pPr>
              <w:spacing w:after="0"/>
              <w:rPr>
                <w:sz w:val="20"/>
                <w:szCs w:val="20"/>
                <w:color w:val="auto"/>
              </w:rPr>
            </w:pPr>
            <w:r>
              <w:rPr>
                <w:rFonts w:ascii="Arial" w:cs="Arial" w:eastAsia="Arial" w:hAnsi="Arial"/>
                <w:sz w:val="18"/>
                <w:szCs w:val="18"/>
                <w:color w:val="auto"/>
              </w:rPr>
              <w:t>Form 10-Q for quarter</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05/13/2003</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ended March 31, 2003</w:t>
            </w:r>
          </w:p>
        </w:tc>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756"/>
        </w:trPr>
        <w:tc>
          <w:tcPr>
            <w:tcW w:w="2120" w:type="dxa"/>
            <w:vAlign w:val="bottom"/>
          </w:tcPr>
          <w:p>
            <w:pPr>
              <w:ind w:left="460"/>
              <w:spacing w:after="0"/>
              <w:rPr>
                <w:sz w:val="20"/>
                <w:szCs w:val="20"/>
                <w:color w:val="auto"/>
              </w:rPr>
            </w:pPr>
            <w:r>
              <w:rPr>
                <w:rFonts w:ascii="Arial" w:cs="Arial" w:eastAsia="Arial" w:hAnsi="Arial"/>
                <w:sz w:val="18"/>
                <w:szCs w:val="18"/>
                <w:color w:val="auto"/>
              </w:rPr>
              <w:t>98</w:t>
            </w:r>
          </w:p>
        </w:tc>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220980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57" w:orient="portrait"/>
          <w:cols w:equalWidth="0" w:num="2">
            <w:col w:w="4900" w:space="260"/>
            <w:col w:w="6200"/>
          </w:cols>
          <w:pgMar w:left="240" w:top="12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4260" w:type="dxa"/>
            <w:vAlign w:val="bottom"/>
          </w:tcPr>
          <w:p>
            <w:pPr>
              <w:ind w:left="360"/>
              <w:spacing w:after="0"/>
              <w:rPr>
                <w:sz w:val="20"/>
                <w:szCs w:val="20"/>
                <w:color w:val="auto"/>
              </w:rPr>
            </w:pPr>
            <w:r>
              <w:rPr>
                <w:rFonts w:ascii="Arial" w:cs="Arial" w:eastAsia="Arial" w:hAnsi="Arial"/>
                <w:sz w:val="18"/>
                <w:szCs w:val="18"/>
                <w:color w:val="auto"/>
              </w:rPr>
              <w:t>Lease Agreement between Schootsepoort</w:t>
            </w:r>
          </w:p>
        </w:tc>
        <w:tc>
          <w:tcPr>
            <w:tcW w:w="2240" w:type="dxa"/>
            <w:vAlign w:val="bottom"/>
          </w:tcPr>
          <w:p>
            <w:pPr>
              <w:ind w:left="120"/>
              <w:spacing w:after="0"/>
              <w:rPr>
                <w:sz w:val="20"/>
                <w:szCs w:val="20"/>
                <w:color w:val="auto"/>
              </w:rPr>
            </w:pPr>
            <w:r>
              <w:rPr>
                <w:rFonts w:ascii="Arial" w:cs="Arial" w:eastAsia="Arial" w:hAnsi="Arial"/>
                <w:sz w:val="18"/>
                <w:szCs w:val="18"/>
                <w:color w:val="auto"/>
              </w:rPr>
              <w:t>Form 10-Q for quarter</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08/05/2004</w:t>
            </w:r>
          </w:p>
        </w:tc>
        <w:tc>
          <w:tcPr>
            <w:tcW w:w="2120" w:type="dxa"/>
            <w:vAlign w:val="bottom"/>
          </w:tcPr>
          <w:p>
            <w:pPr>
              <w:jc w:val="right"/>
              <w:ind w:right="970"/>
              <w:spacing w:after="0"/>
              <w:rPr>
                <w:sz w:val="20"/>
                <w:szCs w:val="20"/>
                <w:color w:val="auto"/>
              </w:rPr>
            </w:pPr>
            <w:r>
              <w:rPr>
                <w:rFonts w:ascii="Arial" w:cs="Arial" w:eastAsia="Arial" w:hAnsi="Arial"/>
                <w:sz w:val="18"/>
                <w:szCs w:val="18"/>
                <w:color w:val="auto"/>
              </w:rPr>
              <w:t>10.41</w:t>
            </w:r>
          </w:p>
        </w:tc>
      </w:tr>
      <w:tr>
        <w:trPr>
          <w:trHeight w:val="216"/>
        </w:trPr>
        <w:tc>
          <w:tcPr>
            <w:tcW w:w="780" w:type="dxa"/>
            <w:vAlign w:val="bottom"/>
          </w:tcPr>
          <w:p>
            <w:pPr>
              <w:spacing w:after="0"/>
              <w:rPr>
                <w:sz w:val="18"/>
                <w:szCs w:val="18"/>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rPr>
              <w:t>Onroerendgoed Beheer, for Stichting Philips</w:t>
            </w:r>
          </w:p>
        </w:tc>
        <w:tc>
          <w:tcPr>
            <w:tcW w:w="2240" w:type="dxa"/>
            <w:vAlign w:val="bottom"/>
          </w:tcPr>
          <w:p>
            <w:pPr>
              <w:ind w:left="120"/>
              <w:spacing w:after="0"/>
              <w:rPr>
                <w:sz w:val="20"/>
                <w:szCs w:val="20"/>
                <w:color w:val="auto"/>
              </w:rPr>
            </w:pPr>
            <w:r>
              <w:rPr>
                <w:rFonts w:ascii="Arial" w:cs="Arial" w:eastAsia="Arial" w:hAnsi="Arial"/>
                <w:sz w:val="18"/>
                <w:szCs w:val="18"/>
                <w:color w:val="auto"/>
              </w:rPr>
              <w:t>ended</w:t>
            </w:r>
          </w:p>
        </w:tc>
        <w:tc>
          <w:tcPr>
            <w:tcW w:w="16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rPr>
              <w:t>Pensioenfonds and Align Technology, Inc.</w:t>
            </w:r>
          </w:p>
        </w:tc>
        <w:tc>
          <w:tcPr>
            <w:tcW w:w="2240" w:type="dxa"/>
            <w:vAlign w:val="bottom"/>
          </w:tcPr>
          <w:p>
            <w:pPr>
              <w:ind w:left="120"/>
              <w:spacing w:after="0"/>
              <w:rPr>
                <w:sz w:val="20"/>
                <w:szCs w:val="20"/>
                <w:color w:val="auto"/>
              </w:rPr>
            </w:pPr>
            <w:r>
              <w:rPr>
                <w:rFonts w:ascii="Arial" w:cs="Arial" w:eastAsia="Arial" w:hAnsi="Arial"/>
                <w:sz w:val="18"/>
                <w:szCs w:val="18"/>
                <w:color w:val="auto"/>
              </w:rPr>
              <w:t>June 30, 2004</w:t>
            </w:r>
          </w:p>
        </w:tc>
        <w:tc>
          <w:tcPr>
            <w:tcW w:w="16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4260" w:type="dxa"/>
            <w:vAlign w:val="bottom"/>
          </w:tcPr>
          <w:p>
            <w:pPr>
              <w:ind w:left="360"/>
              <w:spacing w:after="0"/>
              <w:rPr>
                <w:sz w:val="20"/>
                <w:szCs w:val="20"/>
                <w:color w:val="auto"/>
              </w:rPr>
            </w:pPr>
            <w:r>
              <w:rPr>
                <w:rFonts w:ascii="Arial" w:cs="Arial" w:eastAsia="Arial" w:hAnsi="Arial"/>
                <w:sz w:val="18"/>
                <w:szCs w:val="18"/>
                <w:color w:val="auto"/>
              </w:rPr>
              <w:t>Summary of 2006 Incentive Awards for Named</w:t>
            </w:r>
          </w:p>
        </w:tc>
        <w:tc>
          <w:tcPr>
            <w:tcW w:w="2240" w:type="dxa"/>
            <w:vAlign w:val="bottom"/>
          </w:tcPr>
          <w:p>
            <w:pPr>
              <w:ind w:left="120"/>
              <w:spacing w:after="0"/>
              <w:rPr>
                <w:sz w:val="20"/>
                <w:szCs w:val="20"/>
                <w:color w:val="auto"/>
              </w:rPr>
            </w:pPr>
            <w:r>
              <w:rPr>
                <w:rFonts w:ascii="Arial" w:cs="Arial" w:eastAsia="Arial" w:hAnsi="Arial"/>
                <w:sz w:val="18"/>
                <w:szCs w:val="18"/>
                <w:color w:val="auto"/>
              </w:rPr>
              <w:t>Form 8-K</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01/12/2007</w:t>
            </w:r>
          </w:p>
        </w:tc>
        <w:tc>
          <w:tcPr>
            <w:tcW w:w="2120" w:type="dxa"/>
            <w:vAlign w:val="bottom"/>
          </w:tcPr>
          <w:p>
            <w:pPr>
              <w:jc w:val="right"/>
              <w:ind w:right="650"/>
              <w:spacing w:after="0"/>
              <w:rPr>
                <w:sz w:val="20"/>
                <w:szCs w:val="20"/>
                <w:color w:val="auto"/>
              </w:rPr>
            </w:pPr>
            <w:r>
              <w:rPr>
                <w:rFonts w:ascii="Arial" w:cs="Arial" w:eastAsia="Arial" w:hAnsi="Arial"/>
                <w:sz w:val="18"/>
                <w:szCs w:val="18"/>
                <w:color w:val="auto"/>
              </w:rPr>
              <w:t>Item 5.02 only</w:t>
            </w:r>
          </w:p>
        </w:tc>
      </w:tr>
      <w:tr>
        <w:trPr>
          <w:trHeight w:val="230"/>
        </w:trPr>
        <w:tc>
          <w:tcPr>
            <w:tcW w:w="780" w:type="dxa"/>
            <w:vAlign w:val="bottom"/>
          </w:tcPr>
          <w:p>
            <w:pPr>
              <w:spacing w:after="0"/>
              <w:rPr>
                <w:sz w:val="20"/>
                <w:szCs w:val="20"/>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rPr>
              <w:t>Executive Officers</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4260" w:type="dxa"/>
            <w:vAlign w:val="bottom"/>
          </w:tcPr>
          <w:p>
            <w:pPr>
              <w:ind w:left="360"/>
              <w:spacing w:after="0"/>
              <w:rPr>
                <w:sz w:val="20"/>
                <w:szCs w:val="20"/>
                <w:color w:val="auto"/>
              </w:rPr>
            </w:pPr>
            <w:r>
              <w:rPr>
                <w:rFonts w:ascii="Arial" w:cs="Arial" w:eastAsia="Arial" w:hAnsi="Arial"/>
                <w:sz w:val="18"/>
                <w:szCs w:val="18"/>
                <w:color w:val="auto"/>
                <w:w w:val="90"/>
              </w:rPr>
              <w:t>Settlement Agreement and Mutual Releases dated as</w:t>
            </w:r>
          </w:p>
        </w:tc>
        <w:tc>
          <w:tcPr>
            <w:tcW w:w="2240" w:type="dxa"/>
            <w:vAlign w:val="bottom"/>
          </w:tcPr>
          <w:p>
            <w:pPr>
              <w:ind w:left="120"/>
              <w:spacing w:after="0"/>
              <w:rPr>
                <w:sz w:val="20"/>
                <w:szCs w:val="20"/>
                <w:color w:val="auto"/>
              </w:rPr>
            </w:pPr>
            <w:r>
              <w:rPr>
                <w:rFonts w:ascii="Arial" w:cs="Arial" w:eastAsia="Arial" w:hAnsi="Arial"/>
                <w:sz w:val="18"/>
                <w:szCs w:val="18"/>
                <w:color w:val="auto"/>
              </w:rPr>
              <w:t>Form 8-K</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10/19/2006</w:t>
            </w:r>
          </w:p>
        </w:tc>
        <w:tc>
          <w:tcPr>
            <w:tcW w:w="2120" w:type="dxa"/>
            <w:vAlign w:val="bottom"/>
          </w:tcPr>
          <w:p>
            <w:pPr>
              <w:jc w:val="right"/>
              <w:ind w:right="1010"/>
              <w:spacing w:after="0"/>
              <w:rPr>
                <w:sz w:val="20"/>
                <w:szCs w:val="20"/>
                <w:color w:val="auto"/>
              </w:rPr>
            </w:pPr>
            <w:r>
              <w:rPr>
                <w:rFonts w:ascii="Arial" w:cs="Arial" w:eastAsia="Arial" w:hAnsi="Arial"/>
                <w:sz w:val="18"/>
                <w:szCs w:val="18"/>
                <w:color w:val="auto"/>
              </w:rPr>
              <w:t>10.1</w:t>
            </w:r>
          </w:p>
        </w:tc>
      </w:tr>
      <w:tr>
        <w:trPr>
          <w:trHeight w:val="216"/>
        </w:trPr>
        <w:tc>
          <w:tcPr>
            <w:tcW w:w="780" w:type="dxa"/>
            <w:vAlign w:val="bottom"/>
          </w:tcPr>
          <w:p>
            <w:pPr>
              <w:spacing w:after="0"/>
              <w:rPr>
                <w:sz w:val="18"/>
                <w:szCs w:val="18"/>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w w:val="99"/>
              </w:rPr>
              <w:t>of October 12, 2006 by and between registrant</w:t>
            </w:r>
          </w:p>
        </w:tc>
        <w:tc>
          <w:tcPr>
            <w:tcW w:w="2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rPr>
              <w:t>and OrthoClear, Inc., among others</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4260" w:type="dxa"/>
            <w:vAlign w:val="bottom"/>
          </w:tcPr>
          <w:p>
            <w:pPr>
              <w:ind w:left="360"/>
              <w:spacing w:after="0"/>
              <w:rPr>
                <w:sz w:val="20"/>
                <w:szCs w:val="20"/>
                <w:color w:val="auto"/>
              </w:rPr>
            </w:pPr>
            <w:r>
              <w:rPr>
                <w:rFonts w:ascii="Arial" w:cs="Arial" w:eastAsia="Arial" w:hAnsi="Arial"/>
                <w:sz w:val="18"/>
                <w:szCs w:val="18"/>
                <w:color w:val="auto"/>
              </w:rPr>
              <w:t>Subsidiaries of the registrant.</w:t>
            </w:r>
          </w:p>
        </w:tc>
        <w:tc>
          <w:tcPr>
            <w:tcW w:w="2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4260" w:type="dxa"/>
            <w:vAlign w:val="bottom"/>
          </w:tcPr>
          <w:p>
            <w:pPr>
              <w:ind w:left="360"/>
              <w:spacing w:after="0"/>
              <w:rPr>
                <w:sz w:val="20"/>
                <w:szCs w:val="20"/>
                <w:color w:val="auto"/>
              </w:rPr>
            </w:pPr>
            <w:r>
              <w:rPr>
                <w:rFonts w:ascii="Arial" w:cs="Arial" w:eastAsia="Arial" w:hAnsi="Arial"/>
                <w:sz w:val="18"/>
                <w:szCs w:val="18"/>
                <w:color w:val="auto"/>
              </w:rPr>
              <w:t>Consent of PricewaterhouseCoopers LLP,</w:t>
            </w:r>
          </w:p>
        </w:tc>
        <w:tc>
          <w:tcPr>
            <w:tcW w:w="2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spacing w:after="0"/>
              <w:rPr>
                <w:sz w:val="20"/>
                <w:szCs w:val="20"/>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w w:val="95"/>
              </w:rPr>
              <w:t>Independent Registered Public Accounting Firm.</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4260" w:type="dxa"/>
            <w:vAlign w:val="bottom"/>
          </w:tcPr>
          <w:p>
            <w:pPr>
              <w:ind w:left="360"/>
              <w:spacing w:after="0"/>
              <w:rPr>
                <w:sz w:val="20"/>
                <w:szCs w:val="20"/>
                <w:color w:val="auto"/>
              </w:rPr>
            </w:pPr>
            <w:r>
              <w:rPr>
                <w:rFonts w:ascii="Arial" w:cs="Arial" w:eastAsia="Arial" w:hAnsi="Arial"/>
                <w:sz w:val="18"/>
                <w:szCs w:val="18"/>
                <w:color w:val="auto"/>
              </w:rPr>
              <w:t>Certifications of Chief Executive Officer pursuant</w:t>
            </w:r>
          </w:p>
        </w:tc>
        <w:tc>
          <w:tcPr>
            <w:tcW w:w="2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18"/>
                <w:szCs w:val="18"/>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w w:val="95"/>
              </w:rPr>
              <w:t>to Exchange Act Rules 13a-14(a) and 15d-14(a),</w:t>
            </w:r>
          </w:p>
        </w:tc>
        <w:tc>
          <w:tcPr>
            <w:tcW w:w="2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rPr>
              <w:t>as adopted pursuant to Section 302 of the</w:t>
            </w:r>
          </w:p>
        </w:tc>
        <w:tc>
          <w:tcPr>
            <w:tcW w:w="2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rPr>
              <w:t>Sarbanes-Oxley Act of 2003.</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4260" w:type="dxa"/>
            <w:vAlign w:val="bottom"/>
          </w:tcPr>
          <w:p>
            <w:pPr>
              <w:ind w:left="360"/>
              <w:spacing w:after="0"/>
              <w:rPr>
                <w:sz w:val="20"/>
                <w:szCs w:val="20"/>
                <w:color w:val="auto"/>
              </w:rPr>
            </w:pPr>
            <w:r>
              <w:rPr>
                <w:rFonts w:ascii="Arial" w:cs="Arial" w:eastAsia="Arial" w:hAnsi="Arial"/>
                <w:sz w:val="18"/>
                <w:szCs w:val="18"/>
                <w:color w:val="auto"/>
                <w:w w:val="96"/>
              </w:rPr>
              <w:t>Certifications of Chief Financial Officer pursuant to</w:t>
            </w:r>
          </w:p>
        </w:tc>
        <w:tc>
          <w:tcPr>
            <w:tcW w:w="2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18"/>
                <w:szCs w:val="18"/>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w w:val="94"/>
              </w:rPr>
              <w:t>Exchange Act Rules 13a-14(a) and 15d-14(a), as</w:t>
            </w:r>
          </w:p>
        </w:tc>
        <w:tc>
          <w:tcPr>
            <w:tcW w:w="2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w w:val="92"/>
              </w:rPr>
              <w:t>adopted pursuant to Section 302 of the Sarbanes-</w:t>
            </w:r>
          </w:p>
        </w:tc>
        <w:tc>
          <w:tcPr>
            <w:tcW w:w="2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rPr>
              <w:t>Oxley Act of 2003.</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426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and Chief</w:t>
            </w:r>
          </w:p>
        </w:tc>
        <w:tc>
          <w:tcPr>
            <w:tcW w:w="2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spacing w:after="0"/>
              <w:rPr>
                <w:sz w:val="20"/>
                <w:szCs w:val="20"/>
                <w:color w:val="auto"/>
              </w:rPr>
            </w:pPr>
          </w:p>
        </w:tc>
        <w:tc>
          <w:tcPr>
            <w:tcW w:w="4260" w:type="dxa"/>
            <w:vAlign w:val="bottom"/>
          </w:tcPr>
          <w:p>
            <w:pPr>
              <w:ind w:left="540"/>
              <w:spacing w:after="0"/>
              <w:rPr>
                <w:sz w:val="20"/>
                <w:szCs w:val="20"/>
                <w:color w:val="auto"/>
              </w:rPr>
            </w:pPr>
            <w:r>
              <w:rPr>
                <w:rFonts w:ascii="Arial" w:cs="Arial" w:eastAsia="Arial" w:hAnsi="Arial"/>
                <w:sz w:val="18"/>
                <w:szCs w:val="18"/>
                <w:color w:val="auto"/>
                <w:w w:val="99"/>
              </w:rPr>
              <w:t>Financial Officer pursuant to 18 U.S.C. Section</w:t>
            </w: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6578600</wp:posOffset>
            </wp:positionH>
            <wp:positionV relativeFrom="paragraph">
              <wp:posOffset>-2739390</wp:posOffset>
            </wp:positionV>
            <wp:extent cx="2540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-2739390</wp:posOffset>
            </wp:positionV>
            <wp:extent cx="2540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1350, as adopted pursuant to Section 906 of the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Sarbanes-Oxley Act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3893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4" w:lineRule="exact"/>
        <w:rPr>
          <w:sz w:val="20"/>
          <w:szCs w:val="20"/>
          <w:color w:val="auto"/>
        </w:rPr>
      </w:pPr>
    </w:p>
    <w:p>
      <w:pPr>
        <w:ind w:left="5620" w:right="900" w:hanging="5612"/>
        <w:spacing w:after="0" w:line="653" w:lineRule="auto"/>
        <w:tabs>
          <w:tab w:leader="none" w:pos="3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filed as an Exhibit to this form pursuant to Items 14(a) and 14(c) of Form 10-K.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12, 2007.</w:t>
      </w:r>
    </w:p>
    <w:p>
      <w:pPr>
        <w:spacing w:after="0" w:line="6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ALIGN TECHNOLOGY, INC.</w:t>
      </w:r>
    </w:p>
    <w:p>
      <w:pPr>
        <w:spacing w:after="0" w:line="225" w:lineRule="exact"/>
        <w:rPr>
          <w:sz w:val="20"/>
          <w:szCs w:val="20"/>
          <w:color w:val="auto"/>
        </w:rPr>
      </w:pPr>
    </w:p>
    <w:p>
      <w:pPr>
        <w:ind w:left="6220"/>
        <w:spacing w:after="0"/>
        <w:tabs>
          <w:tab w:leader="none" w:pos="6660" w:val="left"/>
        </w:tabs>
        <w:rPr>
          <w:sz w:val="20"/>
          <w:szCs w:val="20"/>
          <w:color w:val="auto"/>
        </w:rPr>
      </w:pPr>
      <w:r>
        <w:rPr>
          <w:rFonts w:ascii="Arial" w:cs="Arial" w:eastAsia="Arial" w:hAnsi="Arial"/>
          <w:sz w:val="18"/>
          <w:szCs w:val="18"/>
          <w:color w:val="auto"/>
        </w:rPr>
        <w:t>By:</w:t>
        <w:tab/>
        <w:t>/s/ THOMAS M. PRESCOTT</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-130810</wp:posOffset>
            </wp:positionV>
            <wp:extent cx="30099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65"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Thomas M. Prescott, his or her attorney-in-fact,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63"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Title</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Date</w:t>
            </w:r>
          </w:p>
        </w:tc>
      </w:tr>
      <w:tr>
        <w:trPr>
          <w:trHeight w:val="304"/>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THOMAS M. PRESCOTT</w:t>
            </w:r>
          </w:p>
        </w:tc>
        <w:tc>
          <w:tcPr>
            <w:tcW w:w="4380" w:type="dxa"/>
            <w:vAlign w:val="bottom"/>
            <w:gridSpan w:val="3"/>
          </w:tcPr>
          <w:p>
            <w:pPr>
              <w:ind w:left="300"/>
              <w:spacing w:after="0"/>
              <w:rPr>
                <w:sz w:val="20"/>
                <w:szCs w:val="20"/>
                <w:color w:val="auto"/>
              </w:rPr>
            </w:pPr>
            <w:r>
              <w:rPr>
                <w:rFonts w:ascii="Arial" w:cs="Arial" w:eastAsia="Arial" w:hAnsi="Arial"/>
                <w:sz w:val="18"/>
                <w:szCs w:val="18"/>
                <w:color w:val="auto"/>
              </w:rPr>
              <w:t>President and Chief Executive Officer</w:t>
            </w:r>
          </w:p>
        </w:tc>
        <w:tc>
          <w:tcPr>
            <w:tcW w:w="2120" w:type="dxa"/>
            <w:vAlign w:val="bottom"/>
            <w:gridSpan w:val="2"/>
          </w:tcPr>
          <w:p>
            <w:pPr>
              <w:ind w:left="960"/>
              <w:spacing w:after="0"/>
              <w:rPr>
                <w:sz w:val="20"/>
                <w:szCs w:val="20"/>
                <w:color w:val="auto"/>
              </w:rPr>
            </w:pPr>
            <w:r>
              <w:rPr>
                <w:rFonts w:ascii="Arial" w:cs="Arial" w:eastAsia="Arial" w:hAnsi="Arial"/>
                <w:sz w:val="18"/>
                <w:szCs w:val="18"/>
                <w:color w:val="auto"/>
                <w:w w:val="91"/>
              </w:rPr>
              <w:t>March 12, 2007</w:t>
            </w:r>
          </w:p>
        </w:tc>
      </w:tr>
      <w:tr>
        <w:trPr>
          <w:trHeight w:val="224"/>
        </w:trPr>
        <w:tc>
          <w:tcPr>
            <w:tcW w:w="42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Thomas M. Prescott</w:t>
            </w:r>
          </w:p>
        </w:tc>
        <w:tc>
          <w:tcPr>
            <w:tcW w:w="4380" w:type="dxa"/>
            <w:vAlign w:val="bottom"/>
            <w:gridSpan w:val="3"/>
          </w:tcPr>
          <w:p>
            <w:pPr>
              <w:ind w:left="300"/>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0"/>
        </w:trPr>
        <w:tc>
          <w:tcPr>
            <w:tcW w:w="4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ELDON M. BULLINGTON</w:t>
            </w:r>
          </w:p>
        </w:tc>
        <w:tc>
          <w:tcPr>
            <w:tcW w:w="4380" w:type="dxa"/>
            <w:vAlign w:val="bottom"/>
            <w:gridSpan w:val="3"/>
          </w:tcPr>
          <w:p>
            <w:pPr>
              <w:ind w:left="300"/>
              <w:spacing w:after="0"/>
              <w:rPr>
                <w:sz w:val="20"/>
                <w:szCs w:val="20"/>
                <w:color w:val="auto"/>
              </w:rPr>
            </w:pPr>
            <w:r>
              <w:rPr>
                <w:rFonts w:ascii="Arial" w:cs="Arial" w:eastAsia="Arial" w:hAnsi="Arial"/>
                <w:sz w:val="18"/>
                <w:szCs w:val="18"/>
                <w:color w:val="auto"/>
              </w:rPr>
              <w:t>Chief Financial Officer and Vice President,</w:t>
            </w:r>
          </w:p>
        </w:tc>
        <w:tc>
          <w:tcPr>
            <w:tcW w:w="2120" w:type="dxa"/>
            <w:vAlign w:val="bottom"/>
            <w:gridSpan w:val="2"/>
          </w:tcPr>
          <w:p>
            <w:pPr>
              <w:ind w:left="960"/>
              <w:spacing w:after="0"/>
              <w:rPr>
                <w:sz w:val="20"/>
                <w:szCs w:val="20"/>
                <w:color w:val="auto"/>
              </w:rPr>
            </w:pPr>
            <w:r>
              <w:rPr>
                <w:rFonts w:ascii="Arial" w:cs="Arial" w:eastAsia="Arial" w:hAnsi="Arial"/>
                <w:sz w:val="18"/>
                <w:szCs w:val="18"/>
                <w:color w:val="auto"/>
                <w:w w:val="91"/>
              </w:rPr>
              <w:t>March 12, 2007</w:t>
            </w:r>
          </w:p>
        </w:tc>
      </w:tr>
      <w:tr>
        <w:trPr>
          <w:trHeight w:val="195"/>
        </w:trPr>
        <w:tc>
          <w:tcPr>
            <w:tcW w:w="4200" w:type="dxa"/>
            <w:vAlign w:val="bottom"/>
            <w:gridSpan w:val="3"/>
          </w:tcPr>
          <w:p>
            <w:pPr>
              <w:jc w:val="center"/>
              <w:ind w:right="20"/>
              <w:spacing w:after="0" w:line="195" w:lineRule="exact"/>
              <w:rPr>
                <w:sz w:val="20"/>
                <w:szCs w:val="20"/>
                <w:color w:val="auto"/>
              </w:rPr>
            </w:pPr>
            <w:r>
              <w:rPr>
                <w:rFonts w:ascii="Arial" w:cs="Arial" w:eastAsia="Arial" w:hAnsi="Arial"/>
                <w:sz w:val="18"/>
                <w:szCs w:val="18"/>
                <w:color w:val="auto"/>
                <w:w w:val="96"/>
              </w:rPr>
              <w:t>Eldon M. Bullington</w:t>
            </w:r>
          </w:p>
        </w:tc>
        <w:tc>
          <w:tcPr>
            <w:tcW w:w="4380" w:type="dxa"/>
            <w:vAlign w:val="bottom"/>
            <w:gridSpan w:val="3"/>
          </w:tcPr>
          <w:p>
            <w:pPr>
              <w:ind w:left="300"/>
              <w:spacing w:after="0" w:line="195" w:lineRule="exact"/>
              <w:rPr>
                <w:sz w:val="20"/>
                <w:szCs w:val="20"/>
                <w:color w:val="auto"/>
              </w:rPr>
            </w:pPr>
            <w:r>
              <w:rPr>
                <w:rFonts w:ascii="Arial" w:cs="Arial" w:eastAsia="Arial" w:hAnsi="Arial"/>
                <w:sz w:val="18"/>
                <w:szCs w:val="18"/>
                <w:color w:val="auto"/>
              </w:rPr>
              <w:t>Finance(Principal Financial Officer and</w:t>
            </w: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0"/>
        </w:trPr>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380" w:type="dxa"/>
            <w:vAlign w:val="bottom"/>
            <w:gridSpan w:val="3"/>
          </w:tcPr>
          <w:p>
            <w:pPr>
              <w:ind w:left="300"/>
              <w:spacing w:after="0"/>
              <w:rPr>
                <w:sz w:val="20"/>
                <w:szCs w:val="20"/>
                <w:color w:val="auto"/>
              </w:rPr>
            </w:pPr>
            <w:r>
              <w:rPr>
                <w:rFonts w:ascii="Arial" w:cs="Arial" w:eastAsia="Arial" w:hAnsi="Arial"/>
                <w:sz w:val="18"/>
                <w:szCs w:val="18"/>
                <w:color w:val="auto"/>
              </w:rPr>
              <w:t>Principal Accounting Officer)</w:t>
            </w:r>
          </w:p>
        </w:tc>
        <w:tc>
          <w:tcPr>
            <w:tcW w:w="168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ectPr>
          <w:pgSz w:w="11900" w:h="16857" w:orient="portrait"/>
          <w:cols w:equalWidth="0" w:num="1">
            <w:col w:w="11360"/>
          </w:cols>
          <w:pgMar w:left="240" w:top="125" w:right="299" w:bottom="0" w:gutter="0" w:footer="0" w:header="0"/>
          <w:type w:val="continuous"/>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center"/>
              <w:ind w:right="1071"/>
              <w:spacing w:after="0"/>
              <w:rPr>
                <w:sz w:val="20"/>
                <w:szCs w:val="20"/>
                <w:color w:val="auto"/>
              </w:rPr>
            </w:pPr>
            <w:r>
              <w:rPr>
                <w:rFonts w:ascii="Arial" w:cs="Arial" w:eastAsia="Arial" w:hAnsi="Arial"/>
                <w:sz w:val="18"/>
                <w:szCs w:val="18"/>
                <w:color w:val="auto"/>
                <w:w w:val="96"/>
              </w:rPr>
              <w:t>/s/ H. KENT BOWEN</w:t>
            </w:r>
          </w:p>
        </w:tc>
        <w:tc>
          <w:tcPr>
            <w:tcW w:w="3200" w:type="dxa"/>
            <w:vAlign w:val="bottom"/>
            <w:gridSpan w:val="4"/>
          </w:tcPr>
          <w:p>
            <w:pPr>
              <w:ind w:left="300"/>
              <w:spacing w:after="0"/>
              <w:rPr>
                <w:sz w:val="20"/>
                <w:szCs w:val="20"/>
                <w:color w:val="auto"/>
              </w:rPr>
            </w:pPr>
            <w:r>
              <w:rPr>
                <w:rFonts w:ascii="Arial" w:cs="Arial" w:eastAsia="Arial" w:hAnsi="Arial"/>
                <w:sz w:val="18"/>
                <w:szCs w:val="18"/>
                <w:color w:val="auto"/>
              </w:rPr>
              <w:t>Director</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w w:val="91"/>
              </w:rPr>
              <w:t>March 12, 2007</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tcPr>
          <w:p>
            <w:pPr>
              <w:jc w:val="center"/>
              <w:ind w:right="1051"/>
              <w:spacing w:after="0"/>
              <w:rPr>
                <w:sz w:val="20"/>
                <w:szCs w:val="20"/>
                <w:color w:val="auto"/>
              </w:rPr>
            </w:pPr>
            <w:r>
              <w:rPr>
                <w:rFonts w:ascii="Arial" w:cs="Arial" w:eastAsia="Arial" w:hAnsi="Arial"/>
                <w:sz w:val="18"/>
                <w:szCs w:val="18"/>
                <w:color w:val="auto"/>
                <w:w w:val="93"/>
              </w:rPr>
              <w:t>H. Kent Bowen</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071"/>
              <w:spacing w:after="0"/>
              <w:rPr>
                <w:sz w:val="20"/>
                <w:szCs w:val="20"/>
                <w:color w:val="auto"/>
              </w:rPr>
            </w:pPr>
            <w:r>
              <w:rPr>
                <w:rFonts w:ascii="Arial" w:cs="Arial" w:eastAsia="Arial" w:hAnsi="Arial"/>
                <w:sz w:val="18"/>
                <w:szCs w:val="18"/>
                <w:color w:val="auto"/>
                <w:w w:val="97"/>
              </w:rPr>
              <w:t>/s/ DAVID E. COLLINS</w:t>
            </w:r>
          </w:p>
        </w:tc>
        <w:tc>
          <w:tcPr>
            <w:tcW w:w="3200" w:type="dxa"/>
            <w:vAlign w:val="bottom"/>
            <w:gridSpan w:val="4"/>
          </w:tcPr>
          <w:p>
            <w:pPr>
              <w:ind w:left="300"/>
              <w:spacing w:after="0"/>
              <w:rPr>
                <w:sz w:val="20"/>
                <w:szCs w:val="20"/>
                <w:color w:val="auto"/>
              </w:rPr>
            </w:pPr>
            <w:r>
              <w:rPr>
                <w:rFonts w:ascii="Arial" w:cs="Arial" w:eastAsia="Arial" w:hAnsi="Arial"/>
                <w:sz w:val="18"/>
                <w:szCs w:val="18"/>
                <w:color w:val="auto"/>
              </w:rPr>
              <w:t>Director</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w w:val="91"/>
              </w:rPr>
              <w:t>March 12, 2007</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tcPr>
          <w:p>
            <w:pPr>
              <w:jc w:val="center"/>
              <w:ind w:right="1051"/>
              <w:spacing w:after="0"/>
              <w:rPr>
                <w:sz w:val="20"/>
                <w:szCs w:val="20"/>
                <w:color w:val="auto"/>
              </w:rPr>
            </w:pPr>
            <w:r>
              <w:rPr>
                <w:rFonts w:ascii="Arial" w:cs="Arial" w:eastAsia="Arial" w:hAnsi="Arial"/>
                <w:sz w:val="18"/>
                <w:szCs w:val="18"/>
                <w:color w:val="auto"/>
                <w:w w:val="94"/>
              </w:rPr>
              <w:t>David E. Collins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051"/>
              <w:spacing w:after="0"/>
              <w:rPr>
                <w:sz w:val="20"/>
                <w:szCs w:val="20"/>
                <w:color w:val="auto"/>
              </w:rPr>
            </w:pPr>
            <w:r>
              <w:rPr>
                <w:rFonts w:ascii="Arial" w:cs="Arial" w:eastAsia="Arial" w:hAnsi="Arial"/>
                <w:sz w:val="18"/>
                <w:szCs w:val="18"/>
                <w:color w:val="auto"/>
                <w:w w:val="93"/>
              </w:rPr>
              <w:t>/s/ JOSEPH LACOB</w:t>
            </w:r>
          </w:p>
        </w:tc>
        <w:tc>
          <w:tcPr>
            <w:tcW w:w="3200" w:type="dxa"/>
            <w:vAlign w:val="bottom"/>
            <w:gridSpan w:val="4"/>
          </w:tcPr>
          <w:p>
            <w:pPr>
              <w:ind w:left="300"/>
              <w:spacing w:after="0"/>
              <w:rPr>
                <w:sz w:val="20"/>
                <w:szCs w:val="20"/>
                <w:color w:val="auto"/>
              </w:rPr>
            </w:pPr>
            <w:r>
              <w:rPr>
                <w:rFonts w:ascii="Arial" w:cs="Arial" w:eastAsia="Arial" w:hAnsi="Arial"/>
                <w:sz w:val="18"/>
                <w:szCs w:val="18"/>
                <w:color w:val="auto"/>
              </w:rPr>
              <w:t>Director</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w w:val="91"/>
              </w:rPr>
              <w:t>March 12, 2007</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tcPr>
          <w:p>
            <w:pPr>
              <w:jc w:val="center"/>
              <w:ind w:right="1071"/>
              <w:spacing w:after="0"/>
              <w:rPr>
                <w:sz w:val="20"/>
                <w:szCs w:val="20"/>
                <w:color w:val="auto"/>
              </w:rPr>
            </w:pPr>
            <w:r>
              <w:rPr>
                <w:rFonts w:ascii="Arial" w:cs="Arial" w:eastAsia="Arial" w:hAnsi="Arial"/>
                <w:sz w:val="18"/>
                <w:szCs w:val="18"/>
                <w:color w:val="auto"/>
                <w:w w:val="87"/>
              </w:rPr>
              <w:t>Joseph Lacob</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center"/>
              <w:ind w:right="911"/>
              <w:spacing w:after="0"/>
              <w:rPr>
                <w:sz w:val="20"/>
                <w:szCs w:val="20"/>
                <w:color w:val="auto"/>
              </w:rPr>
            </w:pPr>
            <w:r>
              <w:rPr>
                <w:rFonts w:ascii="Arial" w:cs="Arial" w:eastAsia="Arial" w:hAnsi="Arial"/>
                <w:sz w:val="18"/>
                <w:szCs w:val="18"/>
                <w:color w:val="auto"/>
                <w:w w:val="98"/>
              </w:rPr>
              <w:t>/s/ C. RAYMOND LARKIN</w:t>
            </w:r>
          </w:p>
        </w:tc>
        <w:tc>
          <w:tcPr>
            <w:tcW w:w="3200" w:type="dxa"/>
            <w:vAlign w:val="bottom"/>
            <w:gridSpan w:val="4"/>
          </w:tcPr>
          <w:p>
            <w:pPr>
              <w:ind w:left="300"/>
              <w:spacing w:after="0"/>
              <w:rPr>
                <w:sz w:val="20"/>
                <w:szCs w:val="20"/>
                <w:color w:val="auto"/>
              </w:rPr>
            </w:pPr>
            <w:r>
              <w:rPr>
                <w:rFonts w:ascii="Arial" w:cs="Arial" w:eastAsia="Arial" w:hAnsi="Arial"/>
                <w:sz w:val="18"/>
                <w:szCs w:val="18"/>
                <w:color w:val="auto"/>
              </w:rPr>
              <w:t>Director</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w w:val="91"/>
              </w:rPr>
              <w:t>March 12, 2007</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tcPr>
          <w:p>
            <w:pPr>
              <w:jc w:val="center"/>
              <w:ind w:right="1051"/>
              <w:spacing w:after="0"/>
              <w:rPr>
                <w:sz w:val="20"/>
                <w:szCs w:val="20"/>
                <w:color w:val="auto"/>
              </w:rPr>
            </w:pPr>
            <w:r>
              <w:rPr>
                <w:rFonts w:ascii="Arial" w:cs="Arial" w:eastAsia="Arial" w:hAnsi="Arial"/>
                <w:sz w:val="18"/>
                <w:szCs w:val="18"/>
                <w:color w:val="auto"/>
                <w:w w:val="93"/>
              </w:rPr>
              <w:t>C. Raymond Larkin</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center"/>
              <w:ind w:right="911"/>
              <w:spacing w:after="0"/>
              <w:rPr>
                <w:sz w:val="20"/>
                <w:szCs w:val="20"/>
                <w:color w:val="auto"/>
              </w:rPr>
            </w:pPr>
            <w:r>
              <w:rPr>
                <w:rFonts w:ascii="Arial" w:cs="Arial" w:eastAsia="Arial" w:hAnsi="Arial"/>
                <w:sz w:val="18"/>
                <w:szCs w:val="18"/>
                <w:color w:val="auto"/>
                <w:w w:val="92"/>
              </w:rPr>
              <w:t>/s/ GEORGE J. MORROW</w:t>
            </w:r>
          </w:p>
        </w:tc>
        <w:tc>
          <w:tcPr>
            <w:tcW w:w="3200" w:type="dxa"/>
            <w:vAlign w:val="bottom"/>
            <w:gridSpan w:val="4"/>
          </w:tcPr>
          <w:p>
            <w:pPr>
              <w:ind w:left="300"/>
              <w:spacing w:after="0"/>
              <w:rPr>
                <w:sz w:val="20"/>
                <w:szCs w:val="20"/>
                <w:color w:val="auto"/>
              </w:rPr>
            </w:pPr>
            <w:r>
              <w:rPr>
                <w:rFonts w:ascii="Arial" w:cs="Arial" w:eastAsia="Arial" w:hAnsi="Arial"/>
                <w:sz w:val="18"/>
                <w:szCs w:val="18"/>
                <w:color w:val="auto"/>
              </w:rPr>
              <w:t>Director</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w w:val="91"/>
              </w:rPr>
              <w:t>March 12, 2007</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tcPr>
          <w:p>
            <w:pPr>
              <w:jc w:val="center"/>
              <w:ind w:right="1051"/>
              <w:spacing w:after="0"/>
              <w:rPr>
                <w:sz w:val="20"/>
                <w:szCs w:val="20"/>
                <w:color w:val="auto"/>
              </w:rPr>
            </w:pPr>
            <w:r>
              <w:rPr>
                <w:rFonts w:ascii="Arial" w:cs="Arial" w:eastAsia="Arial" w:hAnsi="Arial"/>
                <w:sz w:val="18"/>
                <w:szCs w:val="18"/>
                <w:color w:val="auto"/>
                <w:w w:val="91"/>
              </w:rPr>
              <w:t>George J. Morrow</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051"/>
              <w:spacing w:after="0"/>
              <w:rPr>
                <w:sz w:val="20"/>
                <w:szCs w:val="20"/>
                <w:color w:val="auto"/>
              </w:rPr>
            </w:pPr>
            <w:r>
              <w:rPr>
                <w:rFonts w:ascii="Arial" w:cs="Arial" w:eastAsia="Arial" w:hAnsi="Arial"/>
                <w:sz w:val="18"/>
                <w:szCs w:val="18"/>
                <w:color w:val="auto"/>
                <w:w w:val="93"/>
              </w:rPr>
              <w:t>/s/ GREG J. SANTORA</w:t>
            </w:r>
          </w:p>
        </w:tc>
        <w:tc>
          <w:tcPr>
            <w:tcW w:w="3200" w:type="dxa"/>
            <w:vAlign w:val="bottom"/>
            <w:gridSpan w:val="4"/>
          </w:tcPr>
          <w:p>
            <w:pPr>
              <w:ind w:left="300"/>
              <w:spacing w:after="0"/>
              <w:rPr>
                <w:sz w:val="20"/>
                <w:szCs w:val="20"/>
                <w:color w:val="auto"/>
              </w:rPr>
            </w:pPr>
            <w:r>
              <w:rPr>
                <w:rFonts w:ascii="Arial" w:cs="Arial" w:eastAsia="Arial" w:hAnsi="Arial"/>
                <w:sz w:val="18"/>
                <w:szCs w:val="18"/>
                <w:color w:val="auto"/>
              </w:rPr>
              <w:t>Director</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w w:val="91"/>
              </w:rPr>
              <w:t>March 12, 2007</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tcPr>
          <w:p>
            <w:pPr>
              <w:jc w:val="center"/>
              <w:ind w:right="1051"/>
              <w:spacing w:after="0"/>
              <w:rPr>
                <w:sz w:val="20"/>
                <w:szCs w:val="20"/>
                <w:color w:val="auto"/>
              </w:rPr>
            </w:pPr>
            <w:r>
              <w:rPr>
                <w:rFonts w:ascii="Arial" w:cs="Arial" w:eastAsia="Arial" w:hAnsi="Arial"/>
                <w:sz w:val="18"/>
                <w:szCs w:val="18"/>
                <w:color w:val="auto"/>
                <w:w w:val="88"/>
              </w:rPr>
              <w:t>Greg J. Santora</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9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center"/>
              <w:ind w:right="891"/>
              <w:spacing w:after="0"/>
              <w:rPr>
                <w:sz w:val="20"/>
                <w:szCs w:val="20"/>
                <w:color w:val="auto"/>
              </w:rPr>
            </w:pPr>
            <w:r>
              <w:rPr>
                <w:rFonts w:ascii="Arial" w:cs="Arial" w:eastAsia="Arial" w:hAnsi="Arial"/>
                <w:sz w:val="18"/>
                <w:szCs w:val="18"/>
                <w:color w:val="auto"/>
                <w:w w:val="95"/>
              </w:rPr>
              <w:t>/s/ WARREN S. THALER</w:t>
            </w:r>
          </w:p>
        </w:tc>
        <w:tc>
          <w:tcPr>
            <w:tcW w:w="3200" w:type="dxa"/>
            <w:vAlign w:val="bottom"/>
            <w:gridSpan w:val="4"/>
          </w:tcPr>
          <w:p>
            <w:pPr>
              <w:ind w:left="300"/>
              <w:spacing w:after="0"/>
              <w:rPr>
                <w:sz w:val="20"/>
                <w:szCs w:val="20"/>
                <w:color w:val="auto"/>
              </w:rPr>
            </w:pPr>
            <w:r>
              <w:rPr>
                <w:rFonts w:ascii="Arial" w:cs="Arial" w:eastAsia="Arial" w:hAnsi="Arial"/>
                <w:sz w:val="18"/>
                <w:szCs w:val="18"/>
                <w:color w:val="auto"/>
              </w:rPr>
              <w:t>Director</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w w:val="91"/>
              </w:rPr>
              <w:t>March 12, 2007</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tcPr>
          <w:p>
            <w:pPr>
              <w:jc w:val="center"/>
              <w:ind w:right="1051"/>
              <w:spacing w:after="0"/>
              <w:rPr>
                <w:sz w:val="20"/>
                <w:szCs w:val="20"/>
                <w:color w:val="auto"/>
              </w:rPr>
            </w:pPr>
            <w:r>
              <w:rPr>
                <w:rFonts w:ascii="Arial" w:cs="Arial" w:eastAsia="Arial" w:hAnsi="Arial"/>
                <w:sz w:val="18"/>
                <w:szCs w:val="18"/>
                <w:color w:val="auto"/>
                <w:w w:val="90"/>
              </w:rPr>
              <w:t>Warren S. Thaler</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0" w:type="dxa"/>
            <w:vAlign w:val="bottom"/>
            <w:gridSpan w:val="3"/>
          </w:tcPr>
          <w:p>
            <w:pPr>
              <w:ind w:left="138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9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306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0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gridSpan w:val="2"/>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5"/>
              </w:rPr>
              <w:t>Exhibit Number Incorporated</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Borders>
              <w:bottom w:val="single" w:sz="8" w:color="auto"/>
            </w:tcBorders>
            <w:gridSpan w:val="3"/>
          </w:tcPr>
          <w:p>
            <w:pPr>
              <w:jc w:val="center"/>
              <w:ind w:left="808"/>
              <w:spacing w:after="0"/>
              <w:rPr>
                <w:sz w:val="20"/>
                <w:szCs w:val="20"/>
                <w:color w:val="auto"/>
              </w:rPr>
            </w:pPr>
            <w:r>
              <w:rPr>
                <w:rFonts w:ascii="Arial" w:cs="Arial" w:eastAsia="Arial" w:hAnsi="Arial"/>
                <w:sz w:val="14"/>
                <w:szCs w:val="14"/>
                <w:b w:val="1"/>
                <w:bCs w:val="1"/>
                <w:color w:val="auto"/>
                <w:w w:val="91"/>
              </w:rPr>
              <w:t>by reference herein</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88"/>
        </w:trPr>
        <w:tc>
          <w:tcPr>
            <w:tcW w:w="9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306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Form</w:t>
            </w:r>
          </w:p>
        </w:tc>
        <w:tc>
          <w:tcPr>
            <w:tcW w:w="200" w:type="dxa"/>
            <w:vAlign w:val="bottom"/>
            <w:vMerge w:val="restart"/>
          </w:tcPr>
          <w:p>
            <w:pPr>
              <w:spacing w:after="0"/>
              <w:rPr>
                <w:sz w:val="7"/>
                <w:szCs w:val="7"/>
                <w:color w:val="auto"/>
              </w:rPr>
            </w:pPr>
          </w:p>
        </w:tc>
        <w:tc>
          <w:tcPr>
            <w:tcW w:w="16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Date</w:t>
            </w:r>
          </w:p>
        </w:tc>
        <w:tc>
          <w:tcPr>
            <w:tcW w:w="160" w:type="dxa"/>
            <w:vAlign w:val="bottom"/>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180" w:type="dxa"/>
            <w:vAlign w:val="bottom"/>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30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herewith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-601980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-601980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03" w:gutter="0" w:footer="0" w:header="0"/>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3.1</w:t>
            </w:r>
          </w:p>
        </w:tc>
        <w:tc>
          <w:tcPr>
            <w:tcW w:w="4160" w:type="dxa"/>
            <w:vAlign w:val="bottom"/>
          </w:tcPr>
          <w:p>
            <w:pPr>
              <w:ind w:left="460"/>
              <w:spacing w:after="0"/>
              <w:rPr>
                <w:sz w:val="20"/>
                <w:szCs w:val="20"/>
                <w:color w:val="auto"/>
              </w:rPr>
            </w:pPr>
            <w:r>
              <w:rPr>
                <w:rFonts w:ascii="Arial" w:cs="Arial" w:eastAsia="Arial" w:hAnsi="Arial"/>
                <w:sz w:val="18"/>
                <w:szCs w:val="18"/>
                <w:color w:val="auto"/>
                <w:w w:val="90"/>
              </w:rPr>
              <w:t>Amended and Restated Certificate of Incorporation</w:t>
            </w:r>
          </w:p>
        </w:tc>
      </w:tr>
      <w:tr>
        <w:trPr>
          <w:trHeight w:val="230"/>
        </w:trPr>
        <w:tc>
          <w:tcPr>
            <w:tcW w:w="680" w:type="dxa"/>
            <w:vAlign w:val="bottom"/>
          </w:tcPr>
          <w:p>
            <w:pPr>
              <w:spacing w:after="0"/>
              <w:rPr>
                <w:sz w:val="20"/>
                <w:szCs w:val="20"/>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of registrant.</w:t>
            </w:r>
          </w:p>
        </w:tc>
      </w:tr>
      <w:tr>
        <w:trPr>
          <w:trHeight w:val="284"/>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3.2</w:t>
            </w:r>
          </w:p>
        </w:tc>
        <w:tc>
          <w:tcPr>
            <w:tcW w:w="4160" w:type="dxa"/>
            <w:vAlign w:val="bottom"/>
          </w:tcPr>
          <w:p>
            <w:pPr>
              <w:ind w:left="460"/>
              <w:spacing w:after="0"/>
              <w:rPr>
                <w:sz w:val="20"/>
                <w:szCs w:val="20"/>
                <w:color w:val="auto"/>
              </w:rPr>
            </w:pPr>
            <w:r>
              <w:rPr>
                <w:rFonts w:ascii="Arial" w:cs="Arial" w:eastAsia="Arial" w:hAnsi="Arial"/>
                <w:sz w:val="18"/>
                <w:szCs w:val="18"/>
                <w:color w:val="auto"/>
              </w:rPr>
              <w:t>Amended and Restated Bylaws of registrant.</w:t>
            </w:r>
          </w:p>
        </w:tc>
      </w:tr>
      <w:tr>
        <w:trPr>
          <w:trHeight w:val="500"/>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3.3</w:t>
            </w:r>
          </w:p>
        </w:tc>
        <w:tc>
          <w:tcPr>
            <w:tcW w:w="4160" w:type="dxa"/>
            <w:vAlign w:val="bottom"/>
          </w:tcPr>
          <w:p>
            <w:pPr>
              <w:ind w:left="460"/>
              <w:spacing w:after="0"/>
              <w:rPr>
                <w:sz w:val="20"/>
                <w:szCs w:val="20"/>
                <w:color w:val="auto"/>
              </w:rPr>
            </w:pPr>
            <w:r>
              <w:rPr>
                <w:rFonts w:ascii="Arial" w:cs="Arial" w:eastAsia="Arial" w:hAnsi="Arial"/>
                <w:sz w:val="18"/>
                <w:szCs w:val="18"/>
                <w:color w:val="auto"/>
                <w:w w:val="93"/>
              </w:rPr>
              <w:t>Certificate of Designations of Rights, Preferences</w:t>
            </w:r>
          </w:p>
        </w:tc>
      </w:tr>
    </w:tbl>
    <w:p>
      <w:pPr>
        <w:ind w:left="1320"/>
        <w:spacing w:after="0" w:line="261" w:lineRule="auto"/>
        <w:rPr>
          <w:sz w:val="20"/>
          <w:szCs w:val="20"/>
          <w:color w:val="auto"/>
        </w:rPr>
      </w:pPr>
      <w:r>
        <w:rPr>
          <w:rFonts w:ascii="Arial" w:cs="Arial" w:eastAsia="Arial" w:hAnsi="Arial"/>
          <w:sz w:val="18"/>
          <w:szCs w:val="18"/>
          <w:color w:val="auto"/>
        </w:rPr>
        <w:t>and Privileges of Series A Participating Preferred Stock registrant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12/28/2000</w:t>
            </w: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No. 333-49932)</w:t>
            </w: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69"/>
        </w:trPr>
        <w:tc>
          <w:tcPr>
            <w:tcW w:w="232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12/28/2000</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No. 333-49932)</w:t>
            </w: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84"/>
        </w:trPr>
        <w:tc>
          <w:tcPr>
            <w:tcW w:w="2320" w:type="dxa"/>
            <w:vAlign w:val="bottom"/>
          </w:tcPr>
          <w:p>
            <w:pPr>
              <w:spacing w:after="0"/>
              <w:rPr>
                <w:sz w:val="20"/>
                <w:szCs w:val="20"/>
                <w:color w:val="auto"/>
              </w:rPr>
            </w:pPr>
            <w:r>
              <w:rPr>
                <w:rFonts w:ascii="Arial" w:cs="Arial" w:eastAsia="Arial" w:hAnsi="Arial"/>
                <w:sz w:val="18"/>
                <w:szCs w:val="18"/>
                <w:color w:val="auto"/>
              </w:rPr>
              <w:t>Form 8-K</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10/27/2005</w:t>
            </w: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485" w:lineRule="exact"/>
        <w:rPr>
          <w:sz w:val="20"/>
          <w:szCs w:val="20"/>
          <w:color w:val="auto"/>
        </w:rPr>
      </w:pPr>
    </w:p>
    <w:p>
      <w:pPr>
        <w:sectPr>
          <w:pgSz w:w="11900" w:h="16838" w:orient="portrait"/>
          <w:cols w:equalWidth="0" w:num="2">
            <w:col w:w="4880" w:space="280"/>
            <w:col w:w="6300"/>
          </w:cols>
          <w:pgMar w:left="240" w:top="125" w:right="199" w:bottom="103"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4180" w:type="dxa"/>
            <w:vAlign w:val="bottom"/>
          </w:tcPr>
          <w:p>
            <w:pPr>
              <w:ind w:left="400"/>
              <w:spacing w:after="0"/>
              <w:rPr>
                <w:sz w:val="20"/>
                <w:szCs w:val="20"/>
                <w:color w:val="auto"/>
              </w:rPr>
            </w:pPr>
            <w:r>
              <w:rPr>
                <w:rFonts w:ascii="Arial" w:cs="Arial" w:eastAsia="Arial" w:hAnsi="Arial"/>
                <w:sz w:val="18"/>
                <w:szCs w:val="18"/>
                <w:color w:val="auto"/>
              </w:rPr>
              <w:t>Form of Specimen Common Stock Certificate.</w:t>
            </w:r>
          </w:p>
        </w:tc>
      </w:tr>
      <w:tr>
        <w:trPr>
          <w:trHeight w:val="485"/>
        </w:trPr>
        <w:tc>
          <w:tcPr>
            <w:tcW w:w="740" w:type="dxa"/>
            <w:vAlign w:val="bottom"/>
          </w:tcPr>
          <w:p>
            <w:pPr>
              <w:spacing w:after="0"/>
              <w:rPr>
                <w:sz w:val="20"/>
                <w:szCs w:val="20"/>
                <w:color w:val="auto"/>
              </w:rPr>
            </w:pPr>
            <w:r>
              <w:rPr>
                <w:rFonts w:ascii="Arial" w:cs="Arial" w:eastAsia="Arial" w:hAnsi="Arial"/>
                <w:sz w:val="18"/>
                <w:szCs w:val="18"/>
                <w:color w:val="auto"/>
              </w:rPr>
              <w:t>4.2</w:t>
            </w:r>
          </w:p>
        </w:tc>
        <w:tc>
          <w:tcPr>
            <w:tcW w:w="4180" w:type="dxa"/>
            <w:vAlign w:val="bottom"/>
          </w:tcPr>
          <w:p>
            <w:pPr>
              <w:ind w:left="400"/>
              <w:spacing w:after="0"/>
              <w:rPr>
                <w:sz w:val="20"/>
                <w:szCs w:val="20"/>
                <w:color w:val="auto"/>
              </w:rPr>
            </w:pPr>
            <w:r>
              <w:rPr>
                <w:rFonts w:ascii="Arial" w:cs="Arial" w:eastAsia="Arial" w:hAnsi="Arial"/>
                <w:sz w:val="18"/>
                <w:szCs w:val="18"/>
                <w:color w:val="auto"/>
                <w:w w:val="89"/>
              </w:rPr>
              <w:t>Preferred Stock Rights Agreement dated October 25</w:t>
            </w:r>
          </w:p>
        </w:tc>
      </w:tr>
      <w:tr>
        <w:trPr>
          <w:trHeight w:val="216"/>
        </w:trPr>
        <w:tc>
          <w:tcPr>
            <w:tcW w:w="740" w:type="dxa"/>
            <w:vAlign w:val="bottom"/>
          </w:tcPr>
          <w:p>
            <w:pPr>
              <w:spacing w:after="0"/>
              <w:rPr>
                <w:sz w:val="18"/>
                <w:szCs w:val="18"/>
                <w:color w:val="auto"/>
              </w:rPr>
            </w:pPr>
          </w:p>
        </w:tc>
        <w:tc>
          <w:tcPr>
            <w:tcW w:w="4180" w:type="dxa"/>
            <w:vAlign w:val="bottom"/>
          </w:tcPr>
          <w:p>
            <w:pPr>
              <w:ind w:left="580"/>
              <w:spacing w:after="0"/>
              <w:rPr>
                <w:sz w:val="20"/>
                <w:szCs w:val="20"/>
                <w:color w:val="auto"/>
              </w:rPr>
            </w:pPr>
            <w:r>
              <w:rPr>
                <w:rFonts w:ascii="Arial" w:cs="Arial" w:eastAsia="Arial" w:hAnsi="Arial"/>
                <w:sz w:val="18"/>
                <w:szCs w:val="18"/>
                <w:color w:val="auto"/>
              </w:rPr>
              <w:t>between the registrant and EquiServe Trust</w:t>
            </w:r>
          </w:p>
        </w:tc>
      </w:tr>
      <w:tr>
        <w:trPr>
          <w:trHeight w:val="230"/>
        </w:trPr>
        <w:tc>
          <w:tcPr>
            <w:tcW w:w="740" w:type="dxa"/>
            <w:vAlign w:val="bottom"/>
          </w:tcPr>
          <w:p>
            <w:pPr>
              <w:spacing w:after="0"/>
              <w:rPr>
                <w:sz w:val="20"/>
                <w:szCs w:val="20"/>
                <w:color w:val="auto"/>
              </w:rPr>
            </w:pPr>
          </w:p>
        </w:tc>
        <w:tc>
          <w:tcPr>
            <w:tcW w:w="4180" w:type="dxa"/>
            <w:vAlign w:val="bottom"/>
          </w:tcPr>
          <w:p>
            <w:pPr>
              <w:ind w:left="580"/>
              <w:spacing w:after="0"/>
              <w:rPr>
                <w:sz w:val="20"/>
                <w:szCs w:val="20"/>
                <w:color w:val="auto"/>
              </w:rPr>
            </w:pPr>
            <w:r>
              <w:rPr>
                <w:rFonts w:ascii="Arial" w:cs="Arial" w:eastAsia="Arial" w:hAnsi="Arial"/>
                <w:sz w:val="18"/>
                <w:szCs w:val="18"/>
                <w:color w:val="auto"/>
              </w:rPr>
              <w:t>Company, N.A.</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4180" w:type="dxa"/>
            <w:vAlign w:val="bottom"/>
          </w:tcPr>
          <w:p>
            <w:pPr>
              <w:ind w:left="400"/>
              <w:spacing w:after="0"/>
              <w:rPr>
                <w:sz w:val="20"/>
                <w:szCs w:val="20"/>
                <w:color w:val="auto"/>
              </w:rPr>
            </w:pPr>
            <w:r>
              <w:rPr>
                <w:rFonts w:ascii="Arial" w:cs="Arial" w:eastAsia="Arial" w:hAnsi="Arial"/>
                <w:sz w:val="18"/>
                <w:szCs w:val="18"/>
                <w:color w:val="auto"/>
                <w:w w:val="94"/>
              </w:rPr>
              <w:t>Lease Agreement by and between James Lindsey</w:t>
            </w:r>
          </w:p>
        </w:tc>
      </w:tr>
      <w:tr>
        <w:trPr>
          <w:trHeight w:val="216"/>
        </w:trPr>
        <w:tc>
          <w:tcPr>
            <w:tcW w:w="740" w:type="dxa"/>
            <w:vAlign w:val="bottom"/>
          </w:tcPr>
          <w:p>
            <w:pPr>
              <w:spacing w:after="0"/>
              <w:rPr>
                <w:sz w:val="18"/>
                <w:szCs w:val="18"/>
                <w:color w:val="auto"/>
              </w:rPr>
            </w:pPr>
          </w:p>
        </w:tc>
        <w:tc>
          <w:tcPr>
            <w:tcW w:w="4180" w:type="dxa"/>
            <w:vAlign w:val="bottom"/>
          </w:tcPr>
          <w:p>
            <w:pPr>
              <w:ind w:left="580"/>
              <w:spacing w:after="0"/>
              <w:rPr>
                <w:sz w:val="20"/>
                <w:szCs w:val="20"/>
                <w:color w:val="auto"/>
              </w:rPr>
            </w:pPr>
            <w:r>
              <w:rPr>
                <w:rFonts w:ascii="Arial" w:cs="Arial" w:eastAsia="Arial" w:hAnsi="Arial"/>
                <w:sz w:val="18"/>
                <w:szCs w:val="18"/>
                <w:color w:val="auto"/>
                <w:w w:val="98"/>
              </w:rPr>
              <w:t>and registrant, dated June 20, 2000, for office</w:t>
            </w:r>
          </w:p>
        </w:tc>
      </w:tr>
      <w:tr>
        <w:trPr>
          <w:trHeight w:val="216"/>
        </w:trPr>
        <w:tc>
          <w:tcPr>
            <w:tcW w:w="740" w:type="dxa"/>
            <w:vAlign w:val="bottom"/>
          </w:tcPr>
          <w:p>
            <w:pPr>
              <w:spacing w:after="0"/>
              <w:rPr>
                <w:sz w:val="18"/>
                <w:szCs w:val="18"/>
                <w:color w:val="auto"/>
              </w:rPr>
            </w:pPr>
          </w:p>
        </w:tc>
        <w:tc>
          <w:tcPr>
            <w:tcW w:w="4180" w:type="dxa"/>
            <w:vAlign w:val="bottom"/>
          </w:tcPr>
          <w:p>
            <w:pPr>
              <w:ind w:left="580"/>
              <w:spacing w:after="0"/>
              <w:rPr>
                <w:sz w:val="20"/>
                <w:szCs w:val="20"/>
                <w:color w:val="auto"/>
              </w:rPr>
            </w:pPr>
            <w:r>
              <w:rPr>
                <w:rFonts w:ascii="Arial" w:cs="Arial" w:eastAsia="Arial" w:hAnsi="Arial"/>
                <w:sz w:val="18"/>
                <w:szCs w:val="18"/>
                <w:color w:val="auto"/>
                <w:w w:val="90"/>
              </w:rPr>
              <w:t>space located at 881 Martin Avenue, Santa Clara,</w:t>
            </w:r>
          </w:p>
        </w:tc>
      </w:tr>
      <w:tr>
        <w:trPr>
          <w:trHeight w:val="230"/>
        </w:trPr>
        <w:tc>
          <w:tcPr>
            <w:tcW w:w="740" w:type="dxa"/>
            <w:vAlign w:val="bottom"/>
          </w:tcPr>
          <w:p>
            <w:pPr>
              <w:spacing w:after="0"/>
              <w:rPr>
                <w:sz w:val="20"/>
                <w:szCs w:val="20"/>
                <w:color w:val="auto"/>
              </w:rPr>
            </w:pPr>
          </w:p>
        </w:tc>
        <w:tc>
          <w:tcPr>
            <w:tcW w:w="4180" w:type="dxa"/>
            <w:vAlign w:val="bottom"/>
          </w:tcPr>
          <w:p>
            <w:pPr>
              <w:ind w:left="580"/>
              <w:spacing w:after="0"/>
              <w:rPr>
                <w:sz w:val="20"/>
                <w:szCs w:val="20"/>
                <w:color w:val="auto"/>
              </w:rPr>
            </w:pPr>
            <w:r>
              <w:rPr>
                <w:rFonts w:ascii="Arial" w:cs="Arial" w:eastAsia="Arial" w:hAnsi="Arial"/>
                <w:sz w:val="18"/>
                <w:szCs w:val="18"/>
                <w:color w:val="auto"/>
              </w:rPr>
              <w:t>CA.</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01/17/2001</w:t>
            </w:r>
          </w:p>
        </w:tc>
        <w:tc>
          <w:tcPr>
            <w:tcW w:w="820" w:type="dxa"/>
            <w:vAlign w:val="bottom"/>
          </w:tcPr>
          <w:p>
            <w:pPr>
              <w:jc w:val="center"/>
              <w:ind w:left="390"/>
              <w:spacing w:after="0"/>
              <w:rPr>
                <w:sz w:val="20"/>
                <w:szCs w:val="20"/>
                <w:color w:val="auto"/>
              </w:rPr>
            </w:pPr>
            <w:r>
              <w:rPr>
                <w:rFonts w:ascii="Arial" w:cs="Arial" w:eastAsia="Arial" w:hAnsi="Arial"/>
                <w:sz w:val="18"/>
                <w:szCs w:val="18"/>
                <w:color w:val="auto"/>
                <w:w w:val="87"/>
              </w:rPr>
              <w:t>4.1</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No. 333-49932)</w:t>
            </w:r>
          </w:p>
        </w:tc>
        <w:tc>
          <w:tcPr>
            <w:tcW w:w="1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84"/>
        </w:trPr>
        <w:tc>
          <w:tcPr>
            <w:tcW w:w="2320" w:type="dxa"/>
            <w:vAlign w:val="bottom"/>
          </w:tcPr>
          <w:p>
            <w:pPr>
              <w:spacing w:after="0"/>
              <w:rPr>
                <w:sz w:val="20"/>
                <w:szCs w:val="20"/>
                <w:color w:val="auto"/>
              </w:rPr>
            </w:pPr>
            <w:r>
              <w:rPr>
                <w:rFonts w:ascii="Arial" w:cs="Arial" w:eastAsia="Arial" w:hAnsi="Arial"/>
                <w:sz w:val="18"/>
                <w:szCs w:val="18"/>
                <w:color w:val="auto"/>
              </w:rPr>
              <w:t>Form 8-K</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10/27/2005</w:t>
            </w:r>
          </w:p>
        </w:tc>
        <w:tc>
          <w:tcPr>
            <w:tcW w:w="820" w:type="dxa"/>
            <w:vAlign w:val="bottom"/>
          </w:tcPr>
          <w:p>
            <w:pPr>
              <w:jc w:val="center"/>
              <w:ind w:left="390"/>
              <w:spacing w:after="0"/>
              <w:rPr>
                <w:sz w:val="20"/>
                <w:szCs w:val="20"/>
                <w:color w:val="auto"/>
              </w:rPr>
            </w:pPr>
            <w:r>
              <w:rPr>
                <w:rFonts w:ascii="Arial" w:cs="Arial" w:eastAsia="Arial" w:hAnsi="Arial"/>
                <w:sz w:val="18"/>
                <w:szCs w:val="18"/>
                <w:color w:val="auto"/>
                <w:w w:val="87"/>
              </w:rPr>
              <w:t>4.1</w:t>
            </w:r>
          </w:p>
        </w:tc>
      </w:tr>
      <w:tr>
        <w:trPr>
          <w:trHeight w:val="701"/>
        </w:trPr>
        <w:tc>
          <w:tcPr>
            <w:tcW w:w="232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11/14/2000</w:t>
            </w:r>
          </w:p>
        </w:tc>
        <w:tc>
          <w:tcPr>
            <w:tcW w:w="820" w:type="dxa"/>
            <w:vAlign w:val="bottom"/>
          </w:tcPr>
          <w:p>
            <w:pPr>
              <w:jc w:val="center"/>
              <w:ind w:left="410"/>
              <w:spacing w:after="0"/>
              <w:rPr>
                <w:sz w:val="20"/>
                <w:szCs w:val="20"/>
                <w:color w:val="auto"/>
              </w:rPr>
            </w:pPr>
            <w:r>
              <w:rPr>
                <w:rFonts w:ascii="Arial" w:cs="Arial" w:eastAsia="Arial" w:hAnsi="Arial"/>
                <w:sz w:val="18"/>
                <w:szCs w:val="18"/>
                <w:color w:val="auto"/>
                <w:w w:val="91"/>
              </w:rPr>
              <w:t>10.4</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No. 333-49932)</w:t>
            </w:r>
          </w:p>
        </w:tc>
        <w:tc>
          <w:tcPr>
            <w:tcW w:w="164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485" w:lineRule="exact"/>
        <w:rPr>
          <w:sz w:val="20"/>
          <w:szCs w:val="20"/>
          <w:color w:val="auto"/>
        </w:rPr>
      </w:pPr>
    </w:p>
    <w:p>
      <w:pPr>
        <w:sectPr>
          <w:pgSz w:w="11900" w:h="16838" w:orient="portrait"/>
          <w:cols w:equalWidth="0" w:num="2">
            <w:col w:w="4920" w:space="240"/>
            <w:col w:w="6300"/>
          </w:cols>
          <w:pgMar w:left="240" w:top="125" w:right="199" w:bottom="103" w:gutter="0" w:footer="0" w:header="0"/>
          <w:type w:val="continuous"/>
        </w:sectPr>
      </w:pPr>
    </w:p>
    <w:p>
      <w:pPr>
        <w:ind w:left="1140" w:right="1520" w:hanging="1313"/>
        <w:spacing w:after="0" w:line="258" w:lineRule="auto"/>
        <w:tabs>
          <w:tab w:leader="none" w:pos="11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Lease Agreement dated Form 8-K 02/09/2005 10.1 February 2, 2005 for office space located at 881</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Martin Avenue, Santa Clara, CA</w:t>
      </w:r>
    </w:p>
    <w:p>
      <w:pPr>
        <w:sectPr>
          <w:pgSz w:w="11900" w:h="16838" w:orient="portrait"/>
          <w:cols w:equalWidth="0" w:num="1">
            <w:col w:w="11460"/>
          </w:cols>
          <w:pgMar w:left="240" w:top="125" w:right="199" w:bottom="103" w:gutter="0" w:footer="0" w:header="0"/>
          <w:type w:val="continuous"/>
        </w:sectPr>
      </w:pPr>
    </w:p>
    <w:p>
      <w:pPr>
        <w:spacing w:after="0" w:line="62" w:lineRule="exact"/>
        <w:rPr>
          <w:sz w:val="20"/>
          <w:szCs w:val="20"/>
          <w:color w:val="auto"/>
        </w:rPr>
      </w:pPr>
    </w:p>
    <w:p>
      <w:pPr>
        <w:ind w:left="1140" w:hanging="1313"/>
        <w:spacing w:after="0" w:line="259" w:lineRule="auto"/>
        <w:tabs>
          <w:tab w:leader="none" w:pos="11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Lease Agreement dated August 30, 2001 by and between James S. Lindsey and registrant for office space located at 821 Martin Avenue, Santa Clara, CA.</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Form 10-K fiscal year</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03/27/2003</w:t>
            </w:r>
          </w:p>
        </w:tc>
        <w:tc>
          <w:tcPr>
            <w:tcW w:w="900" w:type="dxa"/>
            <w:vAlign w:val="bottom"/>
          </w:tcPr>
          <w:p>
            <w:pPr>
              <w:jc w:val="right"/>
              <w:spacing w:after="0"/>
              <w:rPr>
                <w:sz w:val="20"/>
                <w:szCs w:val="20"/>
                <w:color w:val="auto"/>
              </w:rPr>
            </w:pPr>
            <w:r>
              <w:rPr>
                <w:rFonts w:ascii="Arial" w:cs="Arial" w:eastAsia="Arial" w:hAnsi="Arial"/>
                <w:sz w:val="18"/>
                <w:szCs w:val="18"/>
                <w:color w:val="auto"/>
              </w:rPr>
              <w:t>10.28</w:t>
            </w:r>
          </w:p>
        </w:tc>
      </w:tr>
    </w:tbl>
    <w:p>
      <w:pPr>
        <w:spacing w:after="0"/>
        <w:rPr>
          <w:sz w:val="20"/>
          <w:szCs w:val="20"/>
          <w:color w:val="auto"/>
        </w:rPr>
      </w:pPr>
      <w:r>
        <w:rPr>
          <w:rFonts w:ascii="Arial" w:cs="Arial" w:eastAsia="Arial" w:hAnsi="Arial"/>
          <w:sz w:val="18"/>
          <w:szCs w:val="18"/>
          <w:color w:val="auto"/>
        </w:rPr>
        <w:t>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2002</w:t>
      </w:r>
    </w:p>
    <w:p>
      <w:pPr>
        <w:spacing w:after="0" w:line="278" w:lineRule="exact"/>
        <w:rPr>
          <w:sz w:val="20"/>
          <w:szCs w:val="20"/>
          <w:color w:val="auto"/>
        </w:rPr>
      </w:pPr>
    </w:p>
    <w:p>
      <w:pPr>
        <w:sectPr>
          <w:pgSz w:w="11900" w:h="16838" w:orient="portrait"/>
          <w:cols w:equalWidth="0" w:num="2">
            <w:col w:w="4860" w:space="300"/>
            <w:col w:w="6300"/>
          </w:cols>
          <w:pgMar w:left="240" w:top="125" w:right="199" w:bottom="103"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10.4</w:t>
            </w:r>
          </w:p>
        </w:tc>
        <w:tc>
          <w:tcPr>
            <w:tcW w:w="4260" w:type="dxa"/>
            <w:vAlign w:val="bottom"/>
          </w:tcPr>
          <w:p>
            <w:pPr>
              <w:ind w:left="400"/>
              <w:spacing w:after="0"/>
              <w:rPr>
                <w:sz w:val="20"/>
                <w:szCs w:val="20"/>
                <w:color w:val="auto"/>
              </w:rPr>
            </w:pPr>
            <w:r>
              <w:rPr>
                <w:rFonts w:ascii="Arial" w:cs="Arial" w:eastAsia="Arial" w:hAnsi="Arial"/>
                <w:sz w:val="18"/>
                <w:szCs w:val="18"/>
                <w:color w:val="auto"/>
              </w:rPr>
              <w:t>First Amendment to Lease Agreement dated</w:t>
            </w:r>
          </w:p>
        </w:tc>
        <w:tc>
          <w:tcPr>
            <w:tcW w:w="2280" w:type="dxa"/>
            <w:vAlign w:val="bottom"/>
          </w:tcPr>
          <w:p>
            <w:pPr>
              <w:ind w:left="160"/>
              <w:spacing w:after="0"/>
              <w:rPr>
                <w:sz w:val="20"/>
                <w:szCs w:val="20"/>
                <w:color w:val="auto"/>
              </w:rPr>
            </w:pPr>
            <w:r>
              <w:rPr>
                <w:rFonts w:ascii="Arial" w:cs="Arial" w:eastAsia="Arial" w:hAnsi="Arial"/>
                <w:sz w:val="18"/>
                <w:szCs w:val="18"/>
                <w:color w:val="auto"/>
              </w:rPr>
              <w:t>Form 8-K</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02/09/2005</w:t>
            </w:r>
          </w:p>
        </w:tc>
        <w:tc>
          <w:tcPr>
            <w:tcW w:w="2380" w:type="dxa"/>
            <w:vAlign w:val="bottom"/>
          </w:tcPr>
          <w:p>
            <w:pPr>
              <w:jc w:val="right"/>
              <w:ind w:right="1430"/>
              <w:spacing w:after="0"/>
              <w:rPr>
                <w:sz w:val="20"/>
                <w:szCs w:val="20"/>
                <w:color w:val="auto"/>
              </w:rPr>
            </w:pPr>
            <w:r>
              <w:rPr>
                <w:rFonts w:ascii="Arial" w:cs="Arial" w:eastAsia="Arial" w:hAnsi="Arial"/>
                <w:sz w:val="18"/>
                <w:szCs w:val="18"/>
                <w:color w:val="auto"/>
              </w:rPr>
              <w:t>10.3</w:t>
            </w:r>
          </w:p>
        </w:tc>
      </w:tr>
      <w:tr>
        <w:trPr>
          <w:trHeight w:val="216"/>
        </w:trPr>
        <w:tc>
          <w:tcPr>
            <w:tcW w:w="740" w:type="dxa"/>
            <w:vAlign w:val="bottom"/>
          </w:tcPr>
          <w:p>
            <w:pPr>
              <w:spacing w:after="0"/>
              <w:rPr>
                <w:sz w:val="18"/>
                <w:szCs w:val="18"/>
                <w:color w:val="auto"/>
              </w:rPr>
            </w:pPr>
          </w:p>
        </w:tc>
        <w:tc>
          <w:tcPr>
            <w:tcW w:w="4260" w:type="dxa"/>
            <w:vAlign w:val="bottom"/>
          </w:tcPr>
          <w:p>
            <w:pPr>
              <w:ind w:left="580"/>
              <w:spacing w:after="0"/>
              <w:rPr>
                <w:sz w:val="20"/>
                <w:szCs w:val="20"/>
                <w:color w:val="auto"/>
              </w:rPr>
            </w:pPr>
            <w:r>
              <w:rPr>
                <w:rFonts w:ascii="Arial" w:cs="Arial" w:eastAsia="Arial" w:hAnsi="Arial"/>
                <w:sz w:val="18"/>
                <w:szCs w:val="18"/>
                <w:color w:val="auto"/>
                <w:w w:val="95"/>
              </w:rPr>
              <w:t>February 2, 2005 for office space located at 821</w:t>
            </w: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4260" w:type="dxa"/>
            <w:vAlign w:val="bottom"/>
          </w:tcPr>
          <w:p>
            <w:pPr>
              <w:ind w:left="580"/>
              <w:spacing w:after="0"/>
              <w:rPr>
                <w:sz w:val="20"/>
                <w:szCs w:val="20"/>
                <w:color w:val="auto"/>
              </w:rPr>
            </w:pPr>
            <w:r>
              <w:rPr>
                <w:rFonts w:ascii="Arial" w:cs="Arial" w:eastAsia="Arial" w:hAnsi="Arial"/>
                <w:sz w:val="18"/>
                <w:szCs w:val="18"/>
                <w:color w:val="auto"/>
              </w:rPr>
              <w:t>Martin Avenue, Santa Clara, CA.</w:t>
            </w: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69"/>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10.5</w:t>
            </w:r>
          </w:p>
        </w:tc>
        <w:tc>
          <w:tcPr>
            <w:tcW w:w="4260" w:type="dxa"/>
            <w:vAlign w:val="bottom"/>
          </w:tcPr>
          <w:p>
            <w:pPr>
              <w:ind w:left="400"/>
              <w:spacing w:after="0"/>
              <w:rPr>
                <w:sz w:val="20"/>
                <w:szCs w:val="20"/>
                <w:color w:val="auto"/>
              </w:rPr>
            </w:pPr>
            <w:r>
              <w:rPr>
                <w:rFonts w:ascii="Arial" w:cs="Arial" w:eastAsia="Arial" w:hAnsi="Arial"/>
                <w:sz w:val="18"/>
                <w:szCs w:val="18"/>
                <w:color w:val="auto"/>
              </w:rPr>
              <w:t>Lease Agreement dated March 4, 2004 by and</w:t>
            </w:r>
          </w:p>
        </w:tc>
        <w:tc>
          <w:tcPr>
            <w:tcW w:w="2280" w:type="dxa"/>
            <w:vAlign w:val="bottom"/>
          </w:tcPr>
          <w:p>
            <w:pPr>
              <w:ind w:left="160"/>
              <w:spacing w:after="0"/>
              <w:rPr>
                <w:sz w:val="20"/>
                <w:szCs w:val="20"/>
                <w:color w:val="auto"/>
              </w:rPr>
            </w:pPr>
            <w:r>
              <w:rPr>
                <w:rFonts w:ascii="Arial" w:cs="Arial" w:eastAsia="Arial" w:hAnsi="Arial"/>
                <w:sz w:val="18"/>
                <w:szCs w:val="18"/>
                <w:color w:val="auto"/>
              </w:rPr>
              <w:t>Form 10-Q for quarter</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05/06/2004</w:t>
            </w:r>
          </w:p>
        </w:tc>
        <w:tc>
          <w:tcPr>
            <w:tcW w:w="2380" w:type="dxa"/>
            <w:vAlign w:val="bottom"/>
          </w:tcPr>
          <w:p>
            <w:pPr>
              <w:jc w:val="right"/>
              <w:ind w:right="1390"/>
              <w:spacing w:after="0"/>
              <w:rPr>
                <w:sz w:val="20"/>
                <w:szCs w:val="20"/>
                <w:color w:val="auto"/>
              </w:rPr>
            </w:pPr>
            <w:r>
              <w:rPr>
                <w:rFonts w:ascii="Arial" w:cs="Arial" w:eastAsia="Arial" w:hAnsi="Arial"/>
                <w:sz w:val="18"/>
                <w:szCs w:val="18"/>
                <w:color w:val="auto"/>
              </w:rPr>
              <w:t>10.40</w:t>
            </w:r>
          </w:p>
        </w:tc>
      </w:tr>
      <w:tr>
        <w:trPr>
          <w:trHeight w:val="216"/>
        </w:trPr>
        <w:tc>
          <w:tcPr>
            <w:tcW w:w="740" w:type="dxa"/>
            <w:vAlign w:val="bottom"/>
          </w:tcPr>
          <w:p>
            <w:pPr>
              <w:spacing w:after="0"/>
              <w:rPr>
                <w:sz w:val="18"/>
                <w:szCs w:val="18"/>
                <w:color w:val="auto"/>
              </w:rPr>
            </w:pPr>
          </w:p>
        </w:tc>
        <w:tc>
          <w:tcPr>
            <w:tcW w:w="4260" w:type="dxa"/>
            <w:vAlign w:val="bottom"/>
          </w:tcPr>
          <w:p>
            <w:pPr>
              <w:ind w:left="580"/>
              <w:spacing w:after="0"/>
              <w:rPr>
                <w:sz w:val="20"/>
                <w:szCs w:val="20"/>
                <w:color w:val="auto"/>
              </w:rPr>
            </w:pPr>
            <w:r>
              <w:rPr>
                <w:rFonts w:ascii="Arial" w:cs="Arial" w:eastAsia="Arial" w:hAnsi="Arial"/>
                <w:sz w:val="18"/>
                <w:szCs w:val="18"/>
                <w:color w:val="auto"/>
              </w:rPr>
              <w:t>between James S. Lindsey and registrant for</w:t>
            </w:r>
          </w:p>
        </w:tc>
        <w:tc>
          <w:tcPr>
            <w:tcW w:w="2280" w:type="dxa"/>
            <w:vAlign w:val="bottom"/>
          </w:tcPr>
          <w:p>
            <w:pPr>
              <w:ind w:left="160"/>
              <w:spacing w:after="0"/>
              <w:rPr>
                <w:sz w:val="20"/>
                <w:szCs w:val="20"/>
                <w:color w:val="auto"/>
              </w:rPr>
            </w:pPr>
            <w:r>
              <w:rPr>
                <w:rFonts w:ascii="Arial" w:cs="Arial" w:eastAsia="Arial" w:hAnsi="Arial"/>
                <w:sz w:val="18"/>
                <w:szCs w:val="18"/>
                <w:color w:val="auto"/>
              </w:rPr>
              <w:t>ended March 31, 2004</w:t>
            </w:r>
          </w:p>
        </w:tc>
        <w:tc>
          <w:tcPr>
            <w:tcW w:w="18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4260" w:type="dxa"/>
            <w:vAlign w:val="bottom"/>
          </w:tcPr>
          <w:p>
            <w:pPr>
              <w:ind w:left="580"/>
              <w:spacing w:after="0"/>
              <w:rPr>
                <w:sz w:val="20"/>
                <w:szCs w:val="20"/>
                <w:color w:val="auto"/>
              </w:rPr>
            </w:pPr>
            <w:r>
              <w:rPr>
                <w:rFonts w:ascii="Arial" w:cs="Arial" w:eastAsia="Arial" w:hAnsi="Arial"/>
                <w:sz w:val="18"/>
                <w:szCs w:val="18"/>
                <w:color w:val="auto"/>
                <w:w w:val="93"/>
              </w:rPr>
              <w:t>office space located at 831 Martin Avenue, Santa</w:t>
            </w: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4260" w:type="dxa"/>
            <w:vAlign w:val="bottom"/>
          </w:tcPr>
          <w:p>
            <w:pPr>
              <w:ind w:left="580"/>
              <w:spacing w:after="0"/>
              <w:rPr>
                <w:sz w:val="20"/>
                <w:szCs w:val="20"/>
                <w:color w:val="auto"/>
              </w:rPr>
            </w:pPr>
            <w:r>
              <w:rPr>
                <w:rFonts w:ascii="Arial" w:cs="Arial" w:eastAsia="Arial" w:hAnsi="Arial"/>
                <w:sz w:val="18"/>
                <w:szCs w:val="18"/>
                <w:color w:val="auto"/>
              </w:rPr>
              <w:t>Clara, CA.</w:t>
            </w:r>
          </w:p>
        </w:tc>
        <w:tc>
          <w:tcPr>
            <w:tcW w:w="2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75"/>
        </w:trPr>
        <w:tc>
          <w:tcPr>
            <w:tcW w:w="740" w:type="dxa"/>
            <w:vAlign w:val="bottom"/>
            <w:tcBorders>
              <w:bottom w:val="single" w:sz="8" w:color="010101"/>
            </w:tcBorders>
          </w:tcPr>
          <w:p>
            <w:pPr>
              <w:spacing w:after="0"/>
              <w:rPr>
                <w:sz w:val="24"/>
                <w:szCs w:val="24"/>
                <w:color w:val="auto"/>
              </w:rPr>
            </w:pPr>
          </w:p>
        </w:tc>
        <w:tc>
          <w:tcPr>
            <w:tcW w:w="426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c>
          <w:tcPr>
            <w:tcW w:w="23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10.6</w:t>
            </w:r>
          </w:p>
        </w:tc>
        <w:tc>
          <w:tcPr>
            <w:tcW w:w="4220" w:type="dxa"/>
            <w:vAlign w:val="bottom"/>
          </w:tcPr>
          <w:p>
            <w:pPr>
              <w:ind w:left="400"/>
              <w:spacing w:after="0"/>
              <w:rPr>
                <w:sz w:val="20"/>
                <w:szCs w:val="20"/>
                <w:color w:val="auto"/>
              </w:rPr>
            </w:pPr>
            <w:r>
              <w:rPr>
                <w:rFonts w:ascii="Arial" w:cs="Arial" w:eastAsia="Arial" w:hAnsi="Arial"/>
                <w:sz w:val="18"/>
                <w:szCs w:val="18"/>
                <w:color w:val="auto"/>
              </w:rPr>
              <w:t>First Amendment to Lease Agreement dated</w:t>
            </w:r>
          </w:p>
        </w:tc>
        <w:tc>
          <w:tcPr>
            <w:tcW w:w="1860" w:type="dxa"/>
            <w:vAlign w:val="bottom"/>
          </w:tcPr>
          <w:p>
            <w:pPr>
              <w:ind w:left="200"/>
              <w:spacing w:after="0"/>
              <w:rPr>
                <w:sz w:val="20"/>
                <w:szCs w:val="20"/>
                <w:color w:val="auto"/>
              </w:rPr>
            </w:pPr>
            <w:r>
              <w:rPr>
                <w:rFonts w:ascii="Arial" w:cs="Arial" w:eastAsia="Arial" w:hAnsi="Arial"/>
                <w:sz w:val="18"/>
                <w:szCs w:val="18"/>
                <w:color w:val="auto"/>
              </w:rPr>
              <w:t>Form 8-K</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02/09/2005</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740" w:type="dxa"/>
            <w:vAlign w:val="bottom"/>
          </w:tcPr>
          <w:p>
            <w:pPr>
              <w:spacing w:after="0"/>
              <w:rPr>
                <w:sz w:val="18"/>
                <w:szCs w:val="18"/>
                <w:color w:val="auto"/>
              </w:rPr>
            </w:pPr>
          </w:p>
        </w:tc>
        <w:tc>
          <w:tcPr>
            <w:tcW w:w="4220" w:type="dxa"/>
            <w:vAlign w:val="bottom"/>
          </w:tcPr>
          <w:p>
            <w:pPr>
              <w:ind w:left="580"/>
              <w:spacing w:after="0"/>
              <w:rPr>
                <w:sz w:val="20"/>
                <w:szCs w:val="20"/>
                <w:color w:val="auto"/>
              </w:rPr>
            </w:pPr>
            <w:r>
              <w:rPr>
                <w:rFonts w:ascii="Arial" w:cs="Arial" w:eastAsia="Arial" w:hAnsi="Arial"/>
                <w:sz w:val="18"/>
                <w:szCs w:val="18"/>
                <w:color w:val="auto"/>
                <w:w w:val="94"/>
              </w:rPr>
              <w:t>February 2, 2005 for office space located at 831</w:t>
            </w:r>
          </w:p>
        </w:tc>
        <w:tc>
          <w:tcPr>
            <w:tcW w:w="18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4220" w:type="dxa"/>
            <w:vAlign w:val="bottom"/>
          </w:tcPr>
          <w:p>
            <w:pPr>
              <w:ind w:left="580"/>
              <w:spacing w:after="0"/>
              <w:rPr>
                <w:sz w:val="20"/>
                <w:szCs w:val="20"/>
                <w:color w:val="auto"/>
              </w:rPr>
            </w:pPr>
            <w:r>
              <w:rPr>
                <w:rFonts w:ascii="Arial" w:cs="Arial" w:eastAsia="Arial" w:hAnsi="Arial"/>
                <w:sz w:val="18"/>
                <w:szCs w:val="18"/>
                <w:color w:val="auto"/>
              </w:rPr>
              <w:t>Martin Avenue, Santa Clara, CA.</w:t>
            </w:r>
          </w:p>
        </w:tc>
        <w:tc>
          <w:tcPr>
            <w:tcW w:w="1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9"/>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10.7</w:t>
            </w:r>
          </w:p>
        </w:tc>
        <w:tc>
          <w:tcPr>
            <w:tcW w:w="4220" w:type="dxa"/>
            <w:vAlign w:val="bottom"/>
          </w:tcPr>
          <w:p>
            <w:pPr>
              <w:ind w:left="400"/>
              <w:spacing w:after="0"/>
              <w:rPr>
                <w:sz w:val="20"/>
                <w:szCs w:val="20"/>
                <w:color w:val="auto"/>
              </w:rPr>
            </w:pPr>
            <w:r>
              <w:rPr>
                <w:rFonts w:ascii="Arial" w:cs="Arial" w:eastAsia="Arial" w:hAnsi="Arial"/>
                <w:sz w:val="18"/>
                <w:szCs w:val="18"/>
                <w:color w:val="auto"/>
              </w:rPr>
              <w:t>Shelter Agreement dated December 22, 2005</w:t>
            </w:r>
          </w:p>
        </w:tc>
        <w:tc>
          <w:tcPr>
            <w:tcW w:w="1860" w:type="dxa"/>
            <w:vAlign w:val="bottom"/>
          </w:tcPr>
          <w:p>
            <w:pPr>
              <w:ind w:left="200"/>
              <w:spacing w:after="0"/>
              <w:rPr>
                <w:sz w:val="20"/>
                <w:szCs w:val="20"/>
                <w:color w:val="auto"/>
              </w:rPr>
            </w:pPr>
            <w:r>
              <w:rPr>
                <w:rFonts w:ascii="Arial" w:cs="Arial" w:eastAsia="Arial" w:hAnsi="Arial"/>
                <w:sz w:val="18"/>
                <w:szCs w:val="18"/>
                <w:color w:val="auto"/>
              </w:rPr>
              <w:t>Form 8-K</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12/28/2005</w:t>
            </w: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40" w:type="dxa"/>
            <w:vAlign w:val="bottom"/>
          </w:tcPr>
          <w:p>
            <w:pPr>
              <w:spacing w:after="0"/>
              <w:rPr>
                <w:sz w:val="18"/>
                <w:szCs w:val="18"/>
                <w:color w:val="auto"/>
              </w:rPr>
            </w:pPr>
          </w:p>
        </w:tc>
        <w:tc>
          <w:tcPr>
            <w:tcW w:w="4220" w:type="dxa"/>
            <w:vAlign w:val="bottom"/>
          </w:tcPr>
          <w:p>
            <w:pPr>
              <w:ind w:left="580"/>
              <w:spacing w:after="0"/>
              <w:rPr>
                <w:sz w:val="20"/>
                <w:szCs w:val="20"/>
                <w:color w:val="auto"/>
              </w:rPr>
            </w:pPr>
            <w:r>
              <w:rPr>
                <w:rFonts w:ascii="Arial" w:cs="Arial" w:eastAsia="Arial" w:hAnsi="Arial"/>
                <w:sz w:val="18"/>
                <w:szCs w:val="18"/>
                <w:color w:val="auto"/>
              </w:rPr>
              <w:t>between registrant and International</w:t>
            </w:r>
          </w:p>
        </w:tc>
        <w:tc>
          <w:tcPr>
            <w:tcW w:w="18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4220" w:type="dxa"/>
            <w:vAlign w:val="bottom"/>
          </w:tcPr>
          <w:p>
            <w:pPr>
              <w:ind w:left="580"/>
              <w:spacing w:after="0"/>
              <w:rPr>
                <w:sz w:val="20"/>
                <w:szCs w:val="20"/>
                <w:color w:val="auto"/>
              </w:rPr>
            </w:pPr>
            <w:r>
              <w:rPr>
                <w:rFonts w:ascii="Arial" w:cs="Arial" w:eastAsia="Arial" w:hAnsi="Arial"/>
                <w:sz w:val="18"/>
                <w:szCs w:val="18"/>
                <w:color w:val="auto"/>
              </w:rPr>
              <w:t>Manufacturing Solutions Operaciones, S.R.L.</w:t>
            </w:r>
          </w:p>
        </w:tc>
        <w:tc>
          <w:tcPr>
            <w:tcW w:w="1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9"/>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10.8</w:t>
            </w:r>
          </w:p>
        </w:tc>
        <w:tc>
          <w:tcPr>
            <w:tcW w:w="4220" w:type="dxa"/>
            <w:vAlign w:val="bottom"/>
          </w:tcPr>
          <w:p>
            <w:pPr>
              <w:ind w:left="400"/>
              <w:spacing w:after="0"/>
              <w:rPr>
                <w:sz w:val="20"/>
                <w:szCs w:val="20"/>
                <w:color w:val="auto"/>
              </w:rPr>
            </w:pPr>
            <w:r>
              <w:rPr>
                <w:rFonts w:ascii="Arial" w:cs="Arial" w:eastAsia="Arial" w:hAnsi="Arial"/>
                <w:sz w:val="18"/>
                <w:szCs w:val="18"/>
                <w:color w:val="auto"/>
              </w:rPr>
              <w:t>Amended and Restated Loan and Security</w:t>
            </w:r>
          </w:p>
        </w:tc>
        <w:tc>
          <w:tcPr>
            <w:tcW w:w="1860" w:type="dxa"/>
            <w:vAlign w:val="bottom"/>
          </w:tcPr>
          <w:p>
            <w:pPr>
              <w:ind w:left="200"/>
              <w:spacing w:after="0"/>
              <w:rPr>
                <w:sz w:val="20"/>
                <w:szCs w:val="20"/>
                <w:color w:val="auto"/>
              </w:rPr>
            </w:pPr>
            <w:r>
              <w:rPr>
                <w:rFonts w:ascii="Arial" w:cs="Arial" w:eastAsia="Arial" w:hAnsi="Arial"/>
                <w:sz w:val="18"/>
                <w:szCs w:val="18"/>
                <w:color w:val="auto"/>
              </w:rPr>
              <w:t>Form 8-K</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12/19/2005</w:t>
            </w: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740" w:type="dxa"/>
            <w:vAlign w:val="bottom"/>
          </w:tcPr>
          <w:p>
            <w:pPr>
              <w:spacing w:after="0"/>
              <w:rPr>
                <w:sz w:val="18"/>
                <w:szCs w:val="18"/>
                <w:color w:val="auto"/>
              </w:rPr>
            </w:pPr>
          </w:p>
        </w:tc>
        <w:tc>
          <w:tcPr>
            <w:tcW w:w="4220" w:type="dxa"/>
            <w:vAlign w:val="bottom"/>
          </w:tcPr>
          <w:p>
            <w:pPr>
              <w:ind w:left="580"/>
              <w:spacing w:after="0"/>
              <w:rPr>
                <w:sz w:val="20"/>
                <w:szCs w:val="20"/>
                <w:color w:val="auto"/>
              </w:rPr>
            </w:pPr>
            <w:r>
              <w:rPr>
                <w:rFonts w:ascii="Arial" w:cs="Arial" w:eastAsia="Arial" w:hAnsi="Arial"/>
                <w:sz w:val="18"/>
                <w:szCs w:val="18"/>
                <w:color w:val="auto"/>
                <w:w w:val="96"/>
              </w:rPr>
              <w:t>Agreement dated December 16, 2005 between</w:t>
            </w:r>
          </w:p>
        </w:tc>
        <w:tc>
          <w:tcPr>
            <w:tcW w:w="18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4220" w:type="dxa"/>
            <w:vAlign w:val="bottom"/>
          </w:tcPr>
          <w:p>
            <w:pPr>
              <w:ind w:left="580"/>
              <w:spacing w:after="0"/>
              <w:rPr>
                <w:sz w:val="20"/>
                <w:szCs w:val="20"/>
                <w:color w:val="auto"/>
              </w:rPr>
            </w:pPr>
            <w:r>
              <w:rPr>
                <w:rFonts w:ascii="Arial" w:cs="Arial" w:eastAsia="Arial" w:hAnsi="Arial"/>
                <w:sz w:val="18"/>
                <w:szCs w:val="18"/>
                <w:color w:val="auto"/>
              </w:rPr>
              <w:t>registrant and Comerica Bank</w:t>
            </w:r>
          </w:p>
        </w:tc>
        <w:tc>
          <w:tcPr>
            <w:tcW w:w="1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ectPr>
          <w:pgSz w:w="11900" w:h="16838" w:orient="portrait"/>
          <w:cols w:equalWidth="0" w:num="1">
            <w:col w:w="11460"/>
          </w:cols>
          <w:pgMar w:left="240" w:top="125" w:right="199" w:bottom="103" w:gutter="0" w:footer="0" w:header="0"/>
          <w:type w:val="continuous"/>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10.8A</w:t>
            </w:r>
          </w:p>
        </w:tc>
        <w:tc>
          <w:tcPr>
            <w:tcW w:w="4040" w:type="dxa"/>
            <w:vAlign w:val="bottom"/>
          </w:tcPr>
          <w:p>
            <w:pPr>
              <w:ind w:left="260"/>
              <w:spacing w:after="0"/>
              <w:rPr>
                <w:sz w:val="20"/>
                <w:szCs w:val="20"/>
                <w:color w:val="auto"/>
              </w:rPr>
            </w:pPr>
            <w:r>
              <w:rPr>
                <w:rFonts w:ascii="Arial" w:cs="Arial" w:eastAsia="Arial" w:hAnsi="Arial"/>
                <w:sz w:val="18"/>
                <w:szCs w:val="18"/>
                <w:color w:val="auto"/>
                <w:w w:val="96"/>
              </w:rPr>
              <w:t>Amendment to Amended and Restated Loan and</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Security Agreement dated March 7, 2007</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between registrant and Comerica Bank</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4040" w:type="dxa"/>
            <w:vAlign w:val="bottom"/>
          </w:tcPr>
          <w:p>
            <w:pPr>
              <w:ind w:left="260"/>
              <w:spacing w:after="0"/>
              <w:rPr>
                <w:sz w:val="20"/>
                <w:szCs w:val="20"/>
                <w:color w:val="auto"/>
              </w:rPr>
            </w:pPr>
            <w:r>
              <w:rPr>
                <w:rFonts w:ascii="Arial" w:cs="Arial" w:eastAsia="Arial" w:hAnsi="Arial"/>
                <w:sz w:val="18"/>
                <w:szCs w:val="18"/>
                <w:color w:val="auto"/>
              </w:rPr>
              <w:t>Form of Resale Restriction Agreement with T.</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2"/>
              </w:rPr>
              <w:t>Prescott, E. Bullington, R. George, L. Hedge and</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Gil Laks</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4040" w:type="dxa"/>
            <w:vAlign w:val="bottom"/>
          </w:tcPr>
          <w:p>
            <w:pPr>
              <w:ind w:left="260"/>
              <w:spacing w:after="0"/>
              <w:rPr>
                <w:sz w:val="20"/>
                <w:szCs w:val="20"/>
                <w:color w:val="auto"/>
              </w:rPr>
            </w:pPr>
            <w:r>
              <w:rPr>
                <w:rFonts w:ascii="Arial" w:cs="Arial" w:eastAsia="Arial" w:hAnsi="Arial"/>
                <w:sz w:val="18"/>
                <w:szCs w:val="18"/>
                <w:color w:val="auto"/>
              </w:rPr>
              <w:t>Registrant's 2001 Stock Incentive Plan.</w:t>
            </w:r>
          </w:p>
        </w:tc>
      </w:tr>
      <w:tr>
        <w:trPr>
          <w:trHeight w:val="485"/>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4040" w:type="dxa"/>
            <w:vAlign w:val="bottom"/>
          </w:tcPr>
          <w:p>
            <w:pPr>
              <w:ind w:left="260"/>
              <w:spacing w:after="0"/>
              <w:rPr>
                <w:sz w:val="20"/>
                <w:szCs w:val="20"/>
                <w:color w:val="auto"/>
              </w:rPr>
            </w:pPr>
            <w:r>
              <w:rPr>
                <w:rFonts w:ascii="Arial" w:cs="Arial" w:eastAsia="Arial" w:hAnsi="Arial"/>
                <w:sz w:val="18"/>
                <w:szCs w:val="18"/>
                <w:color w:val="auto"/>
                <w:w w:val="91"/>
              </w:rPr>
              <w:t>Form of option agreement under Align’s 2001 Stock</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Incentive Plan</w:t>
            </w:r>
          </w:p>
        </w:tc>
      </w:tr>
      <w:tr>
        <w:trPr>
          <w:trHeight w:val="500"/>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4040" w:type="dxa"/>
            <w:vAlign w:val="bottom"/>
          </w:tcPr>
          <w:p>
            <w:pPr>
              <w:ind w:left="260"/>
              <w:spacing w:after="0"/>
              <w:rPr>
                <w:sz w:val="20"/>
                <w:szCs w:val="20"/>
                <w:color w:val="auto"/>
              </w:rPr>
            </w:pPr>
            <w:r>
              <w:rPr>
                <w:rFonts w:ascii="Arial" w:cs="Arial" w:eastAsia="Arial" w:hAnsi="Arial"/>
                <w:sz w:val="18"/>
                <w:szCs w:val="18"/>
                <w:color w:val="auto"/>
              </w:rPr>
              <w:t>Registrant's Employee Stock Purchase Plan.</w:t>
            </w:r>
          </w:p>
        </w:tc>
      </w:tr>
      <w:tr>
        <w:trPr>
          <w:trHeight w:val="485"/>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4040" w:type="dxa"/>
            <w:vAlign w:val="bottom"/>
          </w:tcPr>
          <w:p>
            <w:pPr>
              <w:ind w:left="260"/>
              <w:spacing w:after="0"/>
              <w:rPr>
                <w:sz w:val="20"/>
                <w:szCs w:val="20"/>
                <w:color w:val="auto"/>
              </w:rPr>
            </w:pPr>
            <w:r>
              <w:rPr>
                <w:rFonts w:ascii="Arial" w:cs="Arial" w:eastAsia="Arial" w:hAnsi="Arial"/>
                <w:sz w:val="18"/>
                <w:szCs w:val="18"/>
                <w:color w:val="auto"/>
              </w:rPr>
              <w:t>Form of Indemnification Agreement by and</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1"/>
              </w:rPr>
              <w:t>between registrant and its Board of Directors and</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its executive officers.</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4040" w:type="dxa"/>
            <w:vAlign w:val="bottom"/>
          </w:tcPr>
          <w:p>
            <w:pPr>
              <w:ind w:left="260"/>
              <w:spacing w:after="0"/>
              <w:rPr>
                <w:sz w:val="20"/>
                <w:szCs w:val="20"/>
                <w:color w:val="auto"/>
              </w:rPr>
            </w:pPr>
            <w:r>
              <w:rPr>
                <w:rFonts w:ascii="Arial" w:cs="Arial" w:eastAsia="Arial" w:hAnsi="Arial"/>
                <w:sz w:val="18"/>
                <w:szCs w:val="18"/>
                <w:color w:val="auto"/>
              </w:rPr>
              <w:t>Amended and restated 2005 Incentive Plan</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10.14A†</w:t>
            </w:r>
          </w:p>
        </w:tc>
        <w:tc>
          <w:tcPr>
            <w:tcW w:w="4040" w:type="dxa"/>
            <w:vAlign w:val="bottom"/>
          </w:tcPr>
          <w:p>
            <w:pPr>
              <w:ind w:left="260"/>
              <w:spacing w:after="0"/>
              <w:rPr>
                <w:sz w:val="20"/>
                <w:szCs w:val="20"/>
                <w:color w:val="auto"/>
              </w:rPr>
            </w:pPr>
            <w:r>
              <w:rPr>
                <w:rFonts w:ascii="Arial" w:cs="Arial" w:eastAsia="Arial" w:hAnsi="Arial"/>
                <w:sz w:val="18"/>
                <w:szCs w:val="18"/>
                <w:color w:val="auto"/>
                <w:w w:val="89"/>
              </w:rPr>
              <w:t>Form of restricted stock unit award agreement under</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4"/>
              </w:rPr>
              <w:t>registrant’s 2005 Incentive Plan (General Form;</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Officer Form: Director Form)</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16"/>
        </w:trPr>
        <w:tc>
          <w:tcPr>
            <w:tcW w:w="2300" w:type="dxa"/>
            <w:vAlign w:val="bottom"/>
          </w:tcPr>
          <w:p>
            <w:pPr>
              <w:spacing w:after="0"/>
              <w:rPr>
                <w:sz w:val="20"/>
                <w:szCs w:val="20"/>
                <w:color w:val="auto"/>
              </w:rPr>
            </w:pPr>
            <w:r>
              <w:rPr>
                <w:rFonts w:ascii="Arial" w:cs="Arial" w:eastAsia="Arial" w:hAnsi="Arial"/>
                <w:sz w:val="18"/>
                <w:szCs w:val="18"/>
                <w:color w:val="auto"/>
              </w:rPr>
              <w:t>Form 8-K</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10/11/2005</w:t>
            </w:r>
          </w:p>
        </w:tc>
        <w:tc>
          <w:tcPr>
            <w:tcW w:w="1980" w:type="dxa"/>
            <w:vAlign w:val="bottom"/>
          </w:tcPr>
          <w:p>
            <w:pPr>
              <w:jc w:val="center"/>
              <w:ind w:right="450"/>
              <w:spacing w:after="0"/>
              <w:rPr>
                <w:sz w:val="20"/>
                <w:szCs w:val="20"/>
                <w:color w:val="auto"/>
              </w:rPr>
            </w:pPr>
            <w:r>
              <w:rPr>
                <w:rFonts w:ascii="Arial" w:cs="Arial" w:eastAsia="Arial" w:hAnsi="Arial"/>
                <w:sz w:val="18"/>
                <w:szCs w:val="18"/>
                <w:color w:val="auto"/>
                <w:w w:val="91"/>
              </w:rPr>
              <w:t>10.1</w:t>
            </w:r>
          </w:p>
        </w:tc>
      </w:tr>
      <w:tr>
        <w:trPr>
          <w:trHeight w:val="701"/>
        </w:trPr>
        <w:tc>
          <w:tcPr>
            <w:tcW w:w="230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12/28/2000</w:t>
            </w:r>
          </w:p>
        </w:tc>
        <w:tc>
          <w:tcPr>
            <w:tcW w:w="1980" w:type="dxa"/>
            <w:vAlign w:val="bottom"/>
          </w:tcPr>
          <w:p>
            <w:pPr>
              <w:jc w:val="center"/>
              <w:ind w:right="470"/>
              <w:spacing w:after="0"/>
              <w:rPr>
                <w:sz w:val="20"/>
                <w:szCs w:val="20"/>
                <w:color w:val="auto"/>
              </w:rPr>
            </w:pPr>
            <w:r>
              <w:rPr>
                <w:rFonts w:ascii="Arial" w:cs="Arial" w:eastAsia="Arial" w:hAnsi="Arial"/>
                <w:sz w:val="18"/>
                <w:szCs w:val="18"/>
                <w:color w:val="auto"/>
                <w:w w:val="93"/>
              </w:rPr>
              <w:t>10.13</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No. 333-49932)</w:t>
            </w:r>
          </w:p>
        </w:tc>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9"/>
        </w:trPr>
        <w:tc>
          <w:tcPr>
            <w:tcW w:w="2300" w:type="dxa"/>
            <w:vAlign w:val="bottom"/>
          </w:tcPr>
          <w:p>
            <w:pPr>
              <w:spacing w:after="0"/>
              <w:rPr>
                <w:sz w:val="20"/>
                <w:szCs w:val="20"/>
                <w:color w:val="auto"/>
              </w:rPr>
            </w:pPr>
            <w:r>
              <w:rPr>
                <w:rFonts w:ascii="Arial" w:cs="Arial" w:eastAsia="Arial" w:hAnsi="Arial"/>
                <w:sz w:val="18"/>
                <w:szCs w:val="18"/>
                <w:color w:val="auto"/>
              </w:rPr>
              <w:t>Form 10-Q for quarter</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11/05/2004</w:t>
            </w:r>
          </w:p>
        </w:tc>
        <w:tc>
          <w:tcPr>
            <w:tcW w:w="1980" w:type="dxa"/>
            <w:vAlign w:val="bottom"/>
          </w:tcPr>
          <w:p>
            <w:pPr>
              <w:jc w:val="center"/>
              <w:ind w:right="470"/>
              <w:spacing w:after="0"/>
              <w:rPr>
                <w:sz w:val="20"/>
                <w:szCs w:val="20"/>
                <w:color w:val="auto"/>
              </w:rPr>
            </w:pPr>
            <w:r>
              <w:rPr>
                <w:rFonts w:ascii="Arial" w:cs="Arial" w:eastAsia="Arial" w:hAnsi="Arial"/>
                <w:sz w:val="18"/>
                <w:szCs w:val="18"/>
                <w:color w:val="auto"/>
                <w:w w:val="89"/>
              </w:rPr>
              <w:t>10.13.1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ended September 30,</w:t>
            </w:r>
          </w:p>
        </w:tc>
        <w:tc>
          <w:tcPr>
            <w:tcW w:w="16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2004</w:t>
            </w:r>
          </w:p>
        </w:tc>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9"/>
        </w:trPr>
        <w:tc>
          <w:tcPr>
            <w:tcW w:w="230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12/28/2000</w:t>
            </w:r>
          </w:p>
        </w:tc>
        <w:tc>
          <w:tcPr>
            <w:tcW w:w="1980" w:type="dxa"/>
            <w:vAlign w:val="bottom"/>
          </w:tcPr>
          <w:p>
            <w:pPr>
              <w:jc w:val="center"/>
              <w:ind w:right="470"/>
              <w:spacing w:after="0"/>
              <w:rPr>
                <w:sz w:val="20"/>
                <w:szCs w:val="20"/>
                <w:color w:val="auto"/>
              </w:rPr>
            </w:pPr>
            <w:r>
              <w:rPr>
                <w:rFonts w:ascii="Arial" w:cs="Arial" w:eastAsia="Arial" w:hAnsi="Arial"/>
                <w:sz w:val="18"/>
                <w:szCs w:val="18"/>
                <w:color w:val="auto"/>
                <w:w w:val="93"/>
              </w:rPr>
              <w:t>10.14</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No. 333-49932)</w:t>
            </w:r>
          </w:p>
        </w:tc>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69"/>
        </w:trPr>
        <w:tc>
          <w:tcPr>
            <w:tcW w:w="2300" w:type="dxa"/>
            <w:vAlign w:val="bottom"/>
          </w:tcPr>
          <w:p>
            <w:pPr>
              <w:spacing w:after="0"/>
              <w:rPr>
                <w:sz w:val="20"/>
                <w:szCs w:val="20"/>
                <w:color w:val="auto"/>
              </w:rPr>
            </w:pPr>
            <w:r>
              <w:rPr>
                <w:rFonts w:ascii="Arial" w:cs="Arial" w:eastAsia="Arial" w:hAnsi="Arial"/>
                <w:sz w:val="18"/>
                <w:szCs w:val="18"/>
                <w:color w:val="auto"/>
              </w:rPr>
              <w:t>Form S-1 as amended (File</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01/17/2001</w:t>
            </w:r>
          </w:p>
        </w:tc>
        <w:tc>
          <w:tcPr>
            <w:tcW w:w="1980" w:type="dxa"/>
            <w:vAlign w:val="bottom"/>
          </w:tcPr>
          <w:p>
            <w:pPr>
              <w:jc w:val="center"/>
              <w:ind w:right="470"/>
              <w:spacing w:after="0"/>
              <w:rPr>
                <w:sz w:val="20"/>
                <w:szCs w:val="20"/>
                <w:color w:val="auto"/>
              </w:rPr>
            </w:pPr>
            <w:r>
              <w:rPr>
                <w:rFonts w:ascii="Arial" w:cs="Arial" w:eastAsia="Arial" w:hAnsi="Arial"/>
                <w:sz w:val="18"/>
                <w:szCs w:val="18"/>
                <w:color w:val="auto"/>
                <w:w w:val="93"/>
              </w:rPr>
              <w:t>10.15</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No. 333-49932)</w:t>
            </w:r>
          </w:p>
        </w:tc>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00"/>
        </w:trPr>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300" w:type="dxa"/>
            <w:vAlign w:val="bottom"/>
          </w:tcPr>
          <w:p>
            <w:pPr>
              <w:spacing w:after="0"/>
              <w:rPr>
                <w:sz w:val="20"/>
                <w:szCs w:val="20"/>
                <w:color w:val="auto"/>
              </w:rPr>
            </w:pPr>
            <w:r>
              <w:rPr>
                <w:rFonts w:ascii="Arial" w:cs="Arial" w:eastAsia="Arial" w:hAnsi="Arial"/>
                <w:sz w:val="18"/>
                <w:szCs w:val="18"/>
                <w:color w:val="auto"/>
              </w:rPr>
              <w:t>Form 10-K</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03/01/2006</w:t>
            </w:r>
          </w:p>
        </w:tc>
        <w:tc>
          <w:tcPr>
            <w:tcW w:w="1980" w:type="dxa"/>
            <w:vAlign w:val="bottom"/>
          </w:tcPr>
          <w:p>
            <w:pPr>
              <w:jc w:val="center"/>
              <w:ind w:right="470"/>
              <w:spacing w:after="0"/>
              <w:rPr>
                <w:sz w:val="20"/>
                <w:szCs w:val="20"/>
                <w:color w:val="auto"/>
              </w:rPr>
            </w:pPr>
            <w:r>
              <w:rPr>
                <w:rFonts w:ascii="Arial" w:cs="Arial" w:eastAsia="Arial" w:hAnsi="Arial"/>
                <w:sz w:val="18"/>
                <w:szCs w:val="18"/>
                <w:color w:val="auto"/>
                <w:w w:val="94"/>
              </w:rPr>
              <w:t>10.14B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495300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4920" w:space="240"/>
            <w:col w:w="5880"/>
          </w:cols>
          <w:pgMar w:left="240" w:top="125" w:right="6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10.14B†</w:t>
            </w:r>
          </w:p>
        </w:tc>
        <w:tc>
          <w:tcPr>
            <w:tcW w:w="4040" w:type="dxa"/>
            <w:vAlign w:val="bottom"/>
          </w:tcPr>
          <w:p>
            <w:pPr>
              <w:ind w:left="260"/>
              <w:spacing w:after="0"/>
              <w:rPr>
                <w:sz w:val="20"/>
                <w:szCs w:val="20"/>
                <w:color w:val="auto"/>
              </w:rPr>
            </w:pPr>
            <w:r>
              <w:rPr>
                <w:rFonts w:ascii="Arial" w:cs="Arial" w:eastAsia="Arial" w:hAnsi="Arial"/>
                <w:sz w:val="18"/>
                <w:szCs w:val="18"/>
                <w:color w:val="auto"/>
                <w:w w:val="92"/>
              </w:rPr>
              <w:t>Form of option award agreement under registrant’s</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2005 Incentive Plan</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10.14C†</w:t>
            </w:r>
          </w:p>
        </w:tc>
        <w:tc>
          <w:tcPr>
            <w:tcW w:w="4040" w:type="dxa"/>
            <w:vAlign w:val="bottom"/>
          </w:tcPr>
          <w:p>
            <w:pPr>
              <w:ind w:left="260"/>
              <w:spacing w:after="0"/>
              <w:rPr>
                <w:sz w:val="20"/>
                <w:szCs w:val="20"/>
                <w:color w:val="auto"/>
              </w:rPr>
            </w:pPr>
            <w:r>
              <w:rPr>
                <w:rFonts w:ascii="Arial" w:cs="Arial" w:eastAsia="Arial" w:hAnsi="Arial"/>
                <w:sz w:val="18"/>
                <w:szCs w:val="18"/>
                <w:color w:val="auto"/>
                <w:w w:val="89"/>
              </w:rPr>
              <w:t>Form of restricted stock unit award agreement under</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3"/>
              </w:rPr>
              <w:t>registrant’s 2005 Incentive Plan with Thomas M.</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Prescott</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10.14D†</w:t>
            </w:r>
          </w:p>
        </w:tc>
        <w:tc>
          <w:tcPr>
            <w:tcW w:w="4040" w:type="dxa"/>
            <w:vAlign w:val="bottom"/>
          </w:tcPr>
          <w:p>
            <w:pPr>
              <w:ind w:left="260"/>
              <w:spacing w:after="0"/>
              <w:rPr>
                <w:sz w:val="20"/>
                <w:szCs w:val="20"/>
                <w:color w:val="auto"/>
              </w:rPr>
            </w:pPr>
            <w:r>
              <w:rPr>
                <w:rFonts w:ascii="Arial" w:cs="Arial" w:eastAsia="Arial" w:hAnsi="Arial"/>
                <w:sz w:val="18"/>
                <w:szCs w:val="18"/>
                <w:color w:val="auto"/>
              </w:rPr>
              <w:t>Form of restricted stock unit award agreement</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9"/>
              </w:rPr>
              <w:t>amendment under registrant’s 2005 Incentive</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Plan with Thomas M. Prescott</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4040" w:type="dxa"/>
            <w:vAlign w:val="bottom"/>
          </w:tcPr>
          <w:p>
            <w:pPr>
              <w:ind w:left="260"/>
              <w:spacing w:after="0"/>
              <w:rPr>
                <w:sz w:val="20"/>
                <w:szCs w:val="20"/>
                <w:color w:val="auto"/>
              </w:rPr>
            </w:pPr>
            <w:r>
              <w:rPr>
                <w:rFonts w:ascii="Arial" w:cs="Arial" w:eastAsia="Arial" w:hAnsi="Arial"/>
                <w:sz w:val="18"/>
                <w:szCs w:val="18"/>
                <w:color w:val="auto"/>
                <w:w w:val="97"/>
              </w:rPr>
              <w:t>Amended and Restated Employment Agreement</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dated April 19, 2005 between Thomas M.</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Prescott and registrant.</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4040" w:type="dxa"/>
            <w:vAlign w:val="bottom"/>
          </w:tcPr>
          <w:p>
            <w:pPr>
              <w:ind w:left="260"/>
              <w:spacing w:after="0"/>
              <w:rPr>
                <w:sz w:val="20"/>
                <w:szCs w:val="20"/>
                <w:color w:val="auto"/>
              </w:rPr>
            </w:pPr>
            <w:r>
              <w:rPr>
                <w:rFonts w:ascii="Arial" w:cs="Arial" w:eastAsia="Arial" w:hAnsi="Arial"/>
                <w:sz w:val="18"/>
                <w:szCs w:val="18"/>
                <w:color w:val="auto"/>
                <w:w w:val="97"/>
              </w:rPr>
              <w:t>Employment Offer Letter dated July 10, 2002 for</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2"/>
              </w:rPr>
              <w:t>Roger E. George, Vice-President of Legal Affairs</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and General Counsel.</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4040" w:type="dxa"/>
            <w:vAlign w:val="bottom"/>
          </w:tcPr>
          <w:p>
            <w:pPr>
              <w:ind w:left="260"/>
              <w:spacing w:after="0"/>
              <w:rPr>
                <w:sz w:val="20"/>
                <w:szCs w:val="20"/>
                <w:color w:val="auto"/>
              </w:rPr>
            </w:pPr>
            <w:r>
              <w:rPr>
                <w:rFonts w:ascii="Arial" w:cs="Arial" w:eastAsia="Arial" w:hAnsi="Arial"/>
                <w:sz w:val="18"/>
                <w:szCs w:val="18"/>
                <w:color w:val="auto"/>
                <w:w w:val="92"/>
              </w:rPr>
              <w:t>Employment Offer Letter dated August 22, 2002 for</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4"/>
              </w:rPr>
              <w:t>Eldon M. Bullington, Chief Financial Officer and</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Vice-President, Finance.</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4040" w:type="dxa"/>
            <w:vAlign w:val="bottom"/>
          </w:tcPr>
          <w:p>
            <w:pPr>
              <w:ind w:left="260"/>
              <w:spacing w:after="0"/>
              <w:rPr>
                <w:sz w:val="20"/>
                <w:szCs w:val="20"/>
                <w:color w:val="auto"/>
              </w:rPr>
            </w:pPr>
            <w:r>
              <w:rPr>
                <w:rFonts w:ascii="Arial" w:cs="Arial" w:eastAsia="Arial" w:hAnsi="Arial"/>
                <w:sz w:val="18"/>
                <w:szCs w:val="18"/>
                <w:color w:val="auto"/>
                <w:w w:val="97"/>
              </w:rPr>
              <w:t>Form of Employment Agreement entered into by</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8"/>
              </w:rPr>
              <w:t>and between registrant and each of Dan Ellis,</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6"/>
              </w:rPr>
              <w:t>Darrell Zoromski,, Hossein Arjomand, Gil Laks</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and Michael Henry</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4040" w:type="dxa"/>
            <w:vAlign w:val="bottom"/>
          </w:tcPr>
          <w:p>
            <w:pPr>
              <w:ind w:left="260"/>
              <w:spacing w:after="0"/>
              <w:rPr>
                <w:sz w:val="20"/>
                <w:szCs w:val="20"/>
                <w:color w:val="auto"/>
              </w:rPr>
            </w:pPr>
            <w:r>
              <w:rPr>
                <w:rFonts w:ascii="Arial" w:cs="Arial" w:eastAsia="Arial" w:hAnsi="Arial"/>
                <w:sz w:val="18"/>
                <w:szCs w:val="18"/>
                <w:color w:val="auto"/>
                <w:w w:val="95"/>
              </w:rPr>
              <w:t>Form of Employment Agreement with Sonia Clark</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4040" w:type="dxa"/>
            <w:vAlign w:val="bottom"/>
          </w:tcPr>
          <w:p>
            <w:pPr>
              <w:ind w:left="260"/>
              <w:spacing w:after="0"/>
              <w:rPr>
                <w:sz w:val="20"/>
                <w:szCs w:val="20"/>
                <w:color w:val="auto"/>
              </w:rPr>
            </w:pPr>
            <w:r>
              <w:rPr>
                <w:rFonts w:ascii="Arial" w:cs="Arial" w:eastAsia="Arial" w:hAnsi="Arial"/>
                <w:sz w:val="18"/>
                <w:szCs w:val="18"/>
                <w:color w:val="auto"/>
                <w:w w:val="90"/>
              </w:rPr>
              <w:t>Lease Agreement dated February 26, 2003 between</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w w:val="98"/>
              </w:rPr>
              <w:t>KPMG FIDES (COSTA RICA) S.A., PARQUE</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GLOBAL S.A. and registrant.</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4040" w:type="dxa"/>
            <w:vAlign w:val="bottom"/>
          </w:tcPr>
          <w:p>
            <w:pPr>
              <w:ind w:left="260"/>
              <w:spacing w:after="0"/>
              <w:rPr>
                <w:sz w:val="20"/>
                <w:szCs w:val="20"/>
                <w:color w:val="auto"/>
              </w:rPr>
            </w:pPr>
            <w:r>
              <w:rPr>
                <w:rFonts w:ascii="Arial" w:cs="Arial" w:eastAsia="Arial" w:hAnsi="Arial"/>
                <w:sz w:val="18"/>
                <w:szCs w:val="18"/>
                <w:color w:val="auto"/>
              </w:rPr>
              <w:t>Lease Agreement between Schootsepoort</w:t>
            </w:r>
          </w:p>
        </w:tc>
      </w:tr>
      <w:tr>
        <w:trPr>
          <w:trHeight w:val="216"/>
        </w:trPr>
        <w:tc>
          <w:tcPr>
            <w:tcW w:w="880" w:type="dxa"/>
            <w:vAlign w:val="bottom"/>
          </w:tcPr>
          <w:p>
            <w:pPr>
              <w:spacing w:after="0"/>
              <w:rPr>
                <w:sz w:val="18"/>
                <w:szCs w:val="18"/>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Onroerendgoed Beheer, for Stichting Philips</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Pensioenfonds and Align Technology, Inc.</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4040" w:type="dxa"/>
            <w:vAlign w:val="bottom"/>
          </w:tcPr>
          <w:p>
            <w:pPr>
              <w:ind w:left="260"/>
              <w:spacing w:after="0"/>
              <w:rPr>
                <w:sz w:val="20"/>
                <w:szCs w:val="20"/>
                <w:color w:val="auto"/>
              </w:rPr>
            </w:pPr>
            <w:r>
              <w:rPr>
                <w:rFonts w:ascii="Arial" w:cs="Arial" w:eastAsia="Arial" w:hAnsi="Arial"/>
                <w:sz w:val="18"/>
                <w:szCs w:val="18"/>
                <w:color w:val="auto"/>
              </w:rPr>
              <w:t>Summary of 2006 Incentive Awards for Named</w:t>
            </w:r>
          </w:p>
        </w:tc>
      </w:tr>
      <w:tr>
        <w:trPr>
          <w:trHeight w:val="230"/>
        </w:trPr>
        <w:tc>
          <w:tcPr>
            <w:tcW w:w="880" w:type="dxa"/>
            <w:vAlign w:val="bottom"/>
          </w:tcPr>
          <w:p>
            <w:pPr>
              <w:spacing w:after="0"/>
              <w:rPr>
                <w:sz w:val="20"/>
                <w:szCs w:val="20"/>
                <w:color w:val="auto"/>
              </w:rPr>
            </w:pPr>
          </w:p>
        </w:tc>
        <w:tc>
          <w:tcPr>
            <w:tcW w:w="4040" w:type="dxa"/>
            <w:vAlign w:val="bottom"/>
          </w:tcPr>
          <w:p>
            <w:pPr>
              <w:ind w:left="440"/>
              <w:spacing w:after="0"/>
              <w:rPr>
                <w:sz w:val="20"/>
                <w:szCs w:val="20"/>
                <w:color w:val="auto"/>
              </w:rPr>
            </w:pPr>
            <w:r>
              <w:rPr>
                <w:rFonts w:ascii="Arial" w:cs="Arial" w:eastAsia="Arial" w:hAnsi="Arial"/>
                <w:sz w:val="18"/>
                <w:szCs w:val="18"/>
                <w:color w:val="auto"/>
              </w:rPr>
              <w:t>Executive Officers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Form 10-Q</w:t>
            </w:r>
          </w:p>
        </w:tc>
        <w:tc>
          <w:tcPr>
            <w:tcW w:w="2240" w:type="dxa"/>
            <w:vAlign w:val="bottom"/>
          </w:tcPr>
          <w:p>
            <w:pPr>
              <w:jc w:val="right"/>
              <w:ind w:right="430"/>
              <w:spacing w:after="0"/>
              <w:rPr>
                <w:sz w:val="20"/>
                <w:szCs w:val="20"/>
                <w:color w:val="auto"/>
              </w:rPr>
            </w:pPr>
            <w:r>
              <w:rPr>
                <w:rFonts w:ascii="Arial" w:cs="Arial" w:eastAsia="Arial" w:hAnsi="Arial"/>
                <w:sz w:val="18"/>
                <w:szCs w:val="18"/>
                <w:color w:val="auto"/>
              </w:rPr>
              <w:t>08/04/2005</w:t>
            </w: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Form 8-K</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04/19/2005</w:t>
            </w:r>
          </w:p>
        </w:tc>
        <w:tc>
          <w:tcPr>
            <w:tcW w:w="1380" w:type="dxa"/>
            <w:vAlign w:val="bottom"/>
          </w:tcPr>
          <w:p>
            <w:pPr>
              <w:jc w:val="center"/>
              <w:ind w:left="250"/>
              <w:spacing w:after="0"/>
              <w:rPr>
                <w:sz w:val="20"/>
                <w:szCs w:val="20"/>
                <w:color w:val="auto"/>
              </w:rPr>
            </w:pPr>
            <w:r>
              <w:rPr>
                <w:rFonts w:ascii="Arial" w:cs="Arial" w:eastAsia="Arial" w:hAnsi="Arial"/>
                <w:sz w:val="18"/>
                <w:szCs w:val="18"/>
                <w:color w:val="auto"/>
                <w:w w:val="91"/>
              </w:rPr>
              <w:t>10.1</w:t>
            </w:r>
          </w:p>
        </w:tc>
      </w:tr>
      <w:tr>
        <w:trPr>
          <w:trHeight w:val="701"/>
        </w:trPr>
        <w:tc>
          <w:tcPr>
            <w:tcW w:w="2120" w:type="dxa"/>
            <w:vAlign w:val="bottom"/>
          </w:tcPr>
          <w:p>
            <w:pPr>
              <w:spacing w:after="0"/>
              <w:rPr>
                <w:sz w:val="20"/>
                <w:szCs w:val="20"/>
                <w:color w:val="auto"/>
              </w:rPr>
            </w:pPr>
            <w:r>
              <w:rPr>
                <w:rFonts w:ascii="Arial" w:cs="Arial" w:eastAsia="Arial" w:hAnsi="Arial"/>
                <w:sz w:val="18"/>
                <w:szCs w:val="18"/>
                <w:color w:val="auto"/>
              </w:rPr>
              <w:t>Form 10-Q for quarter</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11/14/2002</w:t>
            </w:r>
          </w:p>
        </w:tc>
        <w:tc>
          <w:tcPr>
            <w:tcW w:w="1380" w:type="dxa"/>
            <w:vAlign w:val="bottom"/>
          </w:tcPr>
          <w:p>
            <w:pPr>
              <w:jc w:val="center"/>
              <w:ind w:left="230"/>
              <w:spacing w:after="0"/>
              <w:rPr>
                <w:sz w:val="20"/>
                <w:szCs w:val="20"/>
                <w:color w:val="auto"/>
              </w:rPr>
            </w:pPr>
            <w:r>
              <w:rPr>
                <w:rFonts w:ascii="Arial" w:cs="Arial" w:eastAsia="Arial" w:hAnsi="Arial"/>
                <w:sz w:val="18"/>
                <w:szCs w:val="18"/>
                <w:color w:val="auto"/>
                <w:w w:val="93"/>
              </w:rPr>
              <w:t>10.18</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ended September 30,</w:t>
            </w: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2002</w:t>
            </w:r>
          </w:p>
        </w:tc>
        <w:tc>
          <w:tcPr>
            <w:tcW w:w="16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69"/>
        </w:trPr>
        <w:tc>
          <w:tcPr>
            <w:tcW w:w="2120" w:type="dxa"/>
            <w:vAlign w:val="bottom"/>
          </w:tcPr>
          <w:p>
            <w:pPr>
              <w:spacing w:after="0"/>
              <w:rPr>
                <w:sz w:val="20"/>
                <w:szCs w:val="20"/>
                <w:color w:val="auto"/>
              </w:rPr>
            </w:pPr>
            <w:r>
              <w:rPr>
                <w:rFonts w:ascii="Arial" w:cs="Arial" w:eastAsia="Arial" w:hAnsi="Arial"/>
                <w:sz w:val="18"/>
                <w:szCs w:val="18"/>
                <w:color w:val="auto"/>
              </w:rPr>
              <w:t>Form 10-Q for quarter</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11/14/2002</w:t>
            </w:r>
          </w:p>
        </w:tc>
        <w:tc>
          <w:tcPr>
            <w:tcW w:w="1380" w:type="dxa"/>
            <w:vAlign w:val="bottom"/>
          </w:tcPr>
          <w:p>
            <w:pPr>
              <w:jc w:val="center"/>
              <w:ind w:left="230"/>
              <w:spacing w:after="0"/>
              <w:rPr>
                <w:sz w:val="20"/>
                <w:szCs w:val="20"/>
                <w:color w:val="auto"/>
              </w:rPr>
            </w:pPr>
            <w:r>
              <w:rPr>
                <w:rFonts w:ascii="Arial" w:cs="Arial" w:eastAsia="Arial" w:hAnsi="Arial"/>
                <w:sz w:val="18"/>
                <w:szCs w:val="18"/>
                <w:color w:val="auto"/>
                <w:w w:val="93"/>
              </w:rPr>
              <w:t>10.20</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ended September 30,</w:t>
            </w: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2002</w:t>
            </w:r>
          </w:p>
        </w:tc>
        <w:tc>
          <w:tcPr>
            <w:tcW w:w="16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84"/>
        </w:trPr>
        <w:tc>
          <w:tcPr>
            <w:tcW w:w="2120" w:type="dxa"/>
            <w:vAlign w:val="bottom"/>
          </w:tcPr>
          <w:p>
            <w:pPr>
              <w:spacing w:after="0"/>
              <w:rPr>
                <w:sz w:val="20"/>
                <w:szCs w:val="20"/>
                <w:color w:val="auto"/>
              </w:rPr>
            </w:pPr>
            <w:r>
              <w:rPr>
                <w:rFonts w:ascii="Arial" w:cs="Arial" w:eastAsia="Arial" w:hAnsi="Arial"/>
                <w:sz w:val="18"/>
                <w:szCs w:val="18"/>
                <w:color w:val="auto"/>
              </w:rPr>
              <w:t>Form 10-K</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03/01/2006</w:t>
            </w:r>
          </w:p>
        </w:tc>
        <w:tc>
          <w:tcPr>
            <w:tcW w:w="1380" w:type="dxa"/>
            <w:vAlign w:val="bottom"/>
          </w:tcPr>
          <w:p>
            <w:pPr>
              <w:jc w:val="center"/>
              <w:ind w:left="230"/>
              <w:spacing w:after="0"/>
              <w:rPr>
                <w:sz w:val="20"/>
                <w:szCs w:val="20"/>
                <w:color w:val="auto"/>
              </w:rPr>
            </w:pPr>
            <w:r>
              <w:rPr>
                <w:rFonts w:ascii="Arial" w:cs="Arial" w:eastAsia="Arial" w:hAnsi="Arial"/>
                <w:sz w:val="18"/>
                <w:szCs w:val="18"/>
                <w:color w:val="auto"/>
                <w:w w:val="93"/>
              </w:rPr>
              <w:t>10.20</w:t>
            </w:r>
          </w:p>
        </w:tc>
      </w:tr>
      <w:tr>
        <w:trPr>
          <w:trHeight w:val="932"/>
        </w:trPr>
        <w:tc>
          <w:tcPr>
            <w:tcW w:w="2120" w:type="dxa"/>
            <w:vAlign w:val="bottom"/>
          </w:tcPr>
          <w:p>
            <w:pPr>
              <w:spacing w:after="0"/>
              <w:rPr>
                <w:sz w:val="20"/>
                <w:szCs w:val="20"/>
                <w:color w:val="auto"/>
              </w:rPr>
            </w:pPr>
            <w:r>
              <w:rPr>
                <w:rFonts w:ascii="Arial" w:cs="Arial" w:eastAsia="Arial" w:hAnsi="Arial"/>
                <w:sz w:val="18"/>
                <w:szCs w:val="18"/>
                <w:color w:val="auto"/>
              </w:rPr>
              <w:t>Form 8-K</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09/25/2006</w:t>
            </w:r>
          </w:p>
        </w:tc>
        <w:tc>
          <w:tcPr>
            <w:tcW w:w="1380" w:type="dxa"/>
            <w:vAlign w:val="bottom"/>
          </w:tcPr>
          <w:p>
            <w:pPr>
              <w:jc w:val="center"/>
              <w:ind w:left="230"/>
              <w:spacing w:after="0"/>
              <w:rPr>
                <w:sz w:val="20"/>
                <w:szCs w:val="20"/>
                <w:color w:val="auto"/>
              </w:rPr>
            </w:pPr>
            <w:r>
              <w:rPr>
                <w:rFonts w:ascii="Arial" w:cs="Arial" w:eastAsia="Arial" w:hAnsi="Arial"/>
                <w:sz w:val="18"/>
                <w:szCs w:val="18"/>
                <w:color w:val="auto"/>
                <w:w w:val="93"/>
              </w:rPr>
              <w:t>10.01</w:t>
            </w:r>
          </w:p>
        </w:tc>
      </w:tr>
      <w:tr>
        <w:trPr>
          <w:trHeight w:val="269"/>
        </w:trPr>
        <w:tc>
          <w:tcPr>
            <w:tcW w:w="2120" w:type="dxa"/>
            <w:vAlign w:val="bottom"/>
          </w:tcPr>
          <w:p>
            <w:pPr>
              <w:spacing w:after="0"/>
              <w:rPr>
                <w:sz w:val="20"/>
                <w:szCs w:val="20"/>
                <w:color w:val="auto"/>
              </w:rPr>
            </w:pPr>
            <w:r>
              <w:rPr>
                <w:rFonts w:ascii="Arial" w:cs="Arial" w:eastAsia="Arial" w:hAnsi="Arial"/>
                <w:sz w:val="18"/>
                <w:szCs w:val="18"/>
                <w:color w:val="auto"/>
              </w:rPr>
              <w:t>Form 10-Q for quarter</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05/13/2003</w:t>
            </w:r>
          </w:p>
        </w:tc>
        <w:tc>
          <w:tcPr>
            <w:tcW w:w="1380" w:type="dxa"/>
            <w:vAlign w:val="bottom"/>
          </w:tcPr>
          <w:p>
            <w:pPr>
              <w:jc w:val="center"/>
              <w:ind w:left="230"/>
              <w:spacing w:after="0"/>
              <w:rPr>
                <w:sz w:val="20"/>
                <w:szCs w:val="20"/>
                <w:color w:val="auto"/>
              </w:rPr>
            </w:pPr>
            <w:r>
              <w:rPr>
                <w:rFonts w:ascii="Arial" w:cs="Arial" w:eastAsia="Arial" w:hAnsi="Arial"/>
                <w:sz w:val="18"/>
                <w:szCs w:val="18"/>
                <w:color w:val="auto"/>
                <w:w w:val="93"/>
              </w:rPr>
              <w:t>10.36</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ended March 31, 2003</w:t>
            </w:r>
          </w:p>
        </w:tc>
        <w:tc>
          <w:tcPr>
            <w:tcW w:w="16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85"/>
        </w:trPr>
        <w:tc>
          <w:tcPr>
            <w:tcW w:w="2120" w:type="dxa"/>
            <w:vAlign w:val="bottom"/>
          </w:tcPr>
          <w:p>
            <w:pPr>
              <w:spacing w:after="0"/>
              <w:rPr>
                <w:sz w:val="20"/>
                <w:szCs w:val="20"/>
                <w:color w:val="auto"/>
              </w:rPr>
            </w:pPr>
            <w:r>
              <w:rPr>
                <w:rFonts w:ascii="Arial" w:cs="Arial" w:eastAsia="Arial" w:hAnsi="Arial"/>
                <w:sz w:val="18"/>
                <w:szCs w:val="18"/>
                <w:color w:val="auto"/>
              </w:rPr>
              <w:t>Form 10-Q for quarter</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08/05/2004</w:t>
            </w:r>
          </w:p>
        </w:tc>
        <w:tc>
          <w:tcPr>
            <w:tcW w:w="1380" w:type="dxa"/>
            <w:vAlign w:val="bottom"/>
          </w:tcPr>
          <w:p>
            <w:pPr>
              <w:jc w:val="center"/>
              <w:ind w:left="230"/>
              <w:spacing w:after="0"/>
              <w:rPr>
                <w:sz w:val="20"/>
                <w:szCs w:val="20"/>
                <w:color w:val="auto"/>
              </w:rPr>
            </w:pPr>
            <w:r>
              <w:rPr>
                <w:rFonts w:ascii="Arial" w:cs="Arial" w:eastAsia="Arial" w:hAnsi="Arial"/>
                <w:sz w:val="18"/>
                <w:szCs w:val="18"/>
                <w:color w:val="auto"/>
                <w:w w:val="93"/>
              </w:rPr>
              <w:t>10.41</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ended</w:t>
            </w: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June 30, 2004</w:t>
            </w:r>
          </w:p>
        </w:tc>
        <w:tc>
          <w:tcPr>
            <w:tcW w:w="16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84"/>
        </w:trPr>
        <w:tc>
          <w:tcPr>
            <w:tcW w:w="2120" w:type="dxa"/>
            <w:vAlign w:val="bottom"/>
          </w:tcPr>
          <w:p>
            <w:pPr>
              <w:spacing w:after="0"/>
              <w:rPr>
                <w:sz w:val="20"/>
                <w:szCs w:val="20"/>
                <w:color w:val="auto"/>
              </w:rPr>
            </w:pPr>
            <w:r>
              <w:rPr>
                <w:rFonts w:ascii="Arial" w:cs="Arial" w:eastAsia="Arial" w:hAnsi="Arial"/>
                <w:sz w:val="18"/>
                <w:szCs w:val="18"/>
                <w:color w:val="auto"/>
              </w:rPr>
              <w:t>Form 8-K</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01/12/2007</w:t>
            </w:r>
          </w:p>
        </w:tc>
        <w:tc>
          <w:tcPr>
            <w:tcW w:w="1380" w:type="dxa"/>
            <w:vAlign w:val="bottom"/>
          </w:tcPr>
          <w:p>
            <w:pPr>
              <w:ind w:left="320"/>
              <w:spacing w:after="0"/>
              <w:rPr>
                <w:sz w:val="20"/>
                <w:szCs w:val="20"/>
                <w:color w:val="auto"/>
              </w:rPr>
            </w:pPr>
            <w:r>
              <w:rPr>
                <w:rFonts w:ascii="Arial" w:cs="Arial" w:eastAsia="Arial" w:hAnsi="Arial"/>
                <w:sz w:val="18"/>
                <w:szCs w:val="18"/>
                <w:color w:val="auto"/>
                <w:w w:val="91"/>
              </w:rPr>
              <w:t>Item 5.02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358140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-149225</wp:posOffset>
            </wp:positionV>
            <wp:extent cx="2540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-149225</wp:posOffset>
            </wp:positionV>
            <wp:extent cx="2540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416" w:lineRule="exact"/>
        <w:rPr>
          <w:sz w:val="20"/>
          <w:szCs w:val="20"/>
          <w:color w:val="auto"/>
        </w:rPr>
      </w:pPr>
    </w:p>
    <w:p>
      <w:pPr>
        <w:sectPr>
          <w:pgSz w:w="11900" w:h="16838" w:orient="portrait"/>
          <w:cols w:equalWidth="0" w:num="2">
            <w:col w:w="4920" w:space="240"/>
            <w:col w:w="5880"/>
          </w:cols>
          <w:pgMar w:left="240" w:top="125" w:right="6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6040" w:type="dxa"/>
            <w:vAlign w:val="bottom"/>
          </w:tcPr>
          <w:p>
            <w:pPr>
              <w:ind w:left="360"/>
              <w:spacing w:after="0"/>
              <w:rPr>
                <w:sz w:val="20"/>
                <w:szCs w:val="20"/>
                <w:color w:val="auto"/>
              </w:rPr>
            </w:pPr>
            <w:r>
              <w:rPr>
                <w:rFonts w:ascii="Arial" w:cs="Arial" w:eastAsia="Arial" w:hAnsi="Arial"/>
                <w:sz w:val="18"/>
                <w:szCs w:val="18"/>
                <w:color w:val="auto"/>
              </w:rPr>
              <w:t>Settlement Agreement and Mutual Releases dated as   Form 8-K</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10/19/2006</w:t>
            </w:r>
          </w:p>
        </w:tc>
        <w:tc>
          <w:tcPr>
            <w:tcW w:w="1920" w:type="dxa"/>
            <w:vAlign w:val="bottom"/>
          </w:tcPr>
          <w:p>
            <w:pPr>
              <w:jc w:val="right"/>
              <w:ind w:right="1010"/>
              <w:spacing w:after="0"/>
              <w:rPr>
                <w:sz w:val="20"/>
                <w:szCs w:val="20"/>
                <w:color w:val="auto"/>
              </w:rPr>
            </w:pPr>
            <w:r>
              <w:rPr>
                <w:rFonts w:ascii="Arial" w:cs="Arial" w:eastAsia="Arial" w:hAnsi="Arial"/>
                <w:sz w:val="18"/>
                <w:szCs w:val="18"/>
                <w:color w:val="auto"/>
              </w:rPr>
              <w:t>10.1</w:t>
            </w:r>
          </w:p>
        </w:tc>
      </w:tr>
      <w:tr>
        <w:trPr>
          <w:trHeight w:val="216"/>
        </w:trPr>
        <w:tc>
          <w:tcPr>
            <w:tcW w:w="780" w:type="dxa"/>
            <w:vAlign w:val="bottom"/>
          </w:tcPr>
          <w:p>
            <w:pPr>
              <w:spacing w:after="0"/>
              <w:rPr>
                <w:sz w:val="18"/>
                <w:szCs w:val="18"/>
                <w:color w:val="auto"/>
              </w:rPr>
            </w:pPr>
          </w:p>
        </w:tc>
        <w:tc>
          <w:tcPr>
            <w:tcW w:w="6040" w:type="dxa"/>
            <w:vAlign w:val="bottom"/>
          </w:tcPr>
          <w:p>
            <w:pPr>
              <w:ind w:left="540"/>
              <w:spacing w:after="0"/>
              <w:rPr>
                <w:sz w:val="20"/>
                <w:szCs w:val="20"/>
                <w:color w:val="auto"/>
              </w:rPr>
            </w:pPr>
            <w:r>
              <w:rPr>
                <w:rFonts w:ascii="Arial" w:cs="Arial" w:eastAsia="Arial" w:hAnsi="Arial"/>
                <w:sz w:val="18"/>
                <w:szCs w:val="18"/>
                <w:color w:val="auto"/>
              </w:rPr>
              <w:t>of October 12, 2006 by and between registrant</w:t>
            </w:r>
          </w:p>
        </w:tc>
        <w:tc>
          <w:tcPr>
            <w:tcW w:w="2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6040" w:type="dxa"/>
            <w:vAlign w:val="bottom"/>
          </w:tcPr>
          <w:p>
            <w:pPr>
              <w:ind w:left="540"/>
              <w:spacing w:after="0"/>
              <w:rPr>
                <w:sz w:val="20"/>
                <w:szCs w:val="20"/>
                <w:color w:val="auto"/>
              </w:rPr>
            </w:pPr>
            <w:r>
              <w:rPr>
                <w:rFonts w:ascii="Arial" w:cs="Arial" w:eastAsia="Arial" w:hAnsi="Arial"/>
                <w:sz w:val="18"/>
                <w:szCs w:val="18"/>
                <w:color w:val="auto"/>
              </w:rPr>
              <w:t>and OrthoClear, Inc., among others</w:t>
            </w:r>
          </w:p>
        </w:tc>
        <w:tc>
          <w:tcPr>
            <w:tcW w:w="2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6040" w:type="dxa"/>
            <w:vAlign w:val="bottom"/>
          </w:tcPr>
          <w:p>
            <w:pPr>
              <w:ind w:left="360"/>
              <w:spacing w:after="0"/>
              <w:rPr>
                <w:sz w:val="20"/>
                <w:szCs w:val="20"/>
                <w:color w:val="auto"/>
              </w:rPr>
            </w:pPr>
            <w:r>
              <w:rPr>
                <w:rFonts w:ascii="Arial" w:cs="Arial" w:eastAsia="Arial" w:hAnsi="Arial"/>
                <w:sz w:val="18"/>
                <w:szCs w:val="18"/>
                <w:color w:val="auto"/>
              </w:rPr>
              <w:t>Subsidiaries of the registrant.</w:t>
            </w:r>
          </w:p>
        </w:tc>
        <w:tc>
          <w:tcPr>
            <w:tcW w:w="23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6040" w:type="dxa"/>
            <w:vAlign w:val="bottom"/>
          </w:tcPr>
          <w:p>
            <w:pPr>
              <w:ind w:left="360"/>
              <w:spacing w:after="0"/>
              <w:rPr>
                <w:sz w:val="20"/>
                <w:szCs w:val="20"/>
                <w:color w:val="auto"/>
              </w:rPr>
            </w:pPr>
            <w:r>
              <w:rPr>
                <w:rFonts w:ascii="Arial" w:cs="Arial" w:eastAsia="Arial" w:hAnsi="Arial"/>
                <w:sz w:val="18"/>
                <w:szCs w:val="18"/>
                <w:color w:val="auto"/>
              </w:rPr>
              <w:t>Consent of PricewaterhouseCoopers LLP,</w:t>
            </w:r>
          </w:p>
        </w:tc>
        <w:tc>
          <w:tcPr>
            <w:tcW w:w="23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spacing w:after="0"/>
              <w:rPr>
                <w:sz w:val="20"/>
                <w:szCs w:val="20"/>
                <w:color w:val="auto"/>
              </w:rPr>
            </w:pPr>
          </w:p>
        </w:tc>
        <w:tc>
          <w:tcPr>
            <w:tcW w:w="6040" w:type="dxa"/>
            <w:vAlign w:val="bottom"/>
          </w:tcPr>
          <w:p>
            <w:pPr>
              <w:ind w:left="540"/>
              <w:spacing w:after="0"/>
              <w:rPr>
                <w:sz w:val="20"/>
                <w:szCs w:val="20"/>
                <w:color w:val="auto"/>
              </w:rPr>
            </w:pPr>
            <w:r>
              <w:rPr>
                <w:rFonts w:ascii="Arial" w:cs="Arial" w:eastAsia="Arial" w:hAnsi="Arial"/>
                <w:sz w:val="18"/>
                <w:szCs w:val="18"/>
                <w:color w:val="auto"/>
              </w:rPr>
              <w:t>Independent Registered Public Accounting Firm.</w:t>
            </w:r>
          </w:p>
        </w:tc>
        <w:tc>
          <w:tcPr>
            <w:tcW w:w="2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69"/>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6040" w:type="dxa"/>
            <w:vAlign w:val="bottom"/>
          </w:tcPr>
          <w:p>
            <w:pPr>
              <w:ind w:left="360"/>
              <w:spacing w:after="0"/>
              <w:rPr>
                <w:sz w:val="20"/>
                <w:szCs w:val="20"/>
                <w:color w:val="auto"/>
              </w:rPr>
            </w:pPr>
            <w:r>
              <w:rPr>
                <w:rFonts w:ascii="Arial" w:cs="Arial" w:eastAsia="Arial" w:hAnsi="Arial"/>
                <w:sz w:val="18"/>
                <w:szCs w:val="18"/>
                <w:color w:val="auto"/>
              </w:rPr>
              <w:t>Certifications of Chief Executive Officer pursuant</w:t>
            </w:r>
          </w:p>
        </w:tc>
        <w:tc>
          <w:tcPr>
            <w:tcW w:w="23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18"/>
                <w:szCs w:val="18"/>
                <w:color w:val="auto"/>
              </w:rPr>
            </w:pPr>
          </w:p>
        </w:tc>
        <w:tc>
          <w:tcPr>
            <w:tcW w:w="6040" w:type="dxa"/>
            <w:vAlign w:val="bottom"/>
          </w:tcPr>
          <w:p>
            <w:pPr>
              <w:ind w:left="540"/>
              <w:spacing w:after="0"/>
              <w:rPr>
                <w:sz w:val="20"/>
                <w:szCs w:val="20"/>
                <w:color w:val="auto"/>
              </w:rPr>
            </w:pPr>
            <w:r>
              <w:rPr>
                <w:rFonts w:ascii="Arial" w:cs="Arial" w:eastAsia="Arial" w:hAnsi="Arial"/>
                <w:sz w:val="18"/>
                <w:szCs w:val="18"/>
                <w:color w:val="auto"/>
              </w:rPr>
              <w:t>to Exchange Act Rules 13a-14(a) and 15d-14(a),</w:t>
            </w:r>
          </w:p>
        </w:tc>
        <w:tc>
          <w:tcPr>
            <w:tcW w:w="2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40" w:type="dxa"/>
            <w:vAlign w:val="bottom"/>
          </w:tcPr>
          <w:p>
            <w:pPr>
              <w:ind w:left="540"/>
              <w:spacing w:after="0"/>
              <w:rPr>
                <w:sz w:val="20"/>
                <w:szCs w:val="20"/>
                <w:color w:val="auto"/>
              </w:rPr>
            </w:pPr>
            <w:r>
              <w:rPr>
                <w:rFonts w:ascii="Arial" w:cs="Arial" w:eastAsia="Arial" w:hAnsi="Arial"/>
                <w:sz w:val="18"/>
                <w:szCs w:val="18"/>
                <w:color w:val="auto"/>
              </w:rPr>
              <w:t>as adopted pursuant to Section 302 of the</w:t>
            </w:r>
          </w:p>
        </w:tc>
        <w:tc>
          <w:tcPr>
            <w:tcW w:w="2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6040" w:type="dxa"/>
            <w:vAlign w:val="bottom"/>
          </w:tcPr>
          <w:p>
            <w:pPr>
              <w:ind w:left="540"/>
              <w:spacing w:after="0"/>
              <w:rPr>
                <w:sz w:val="20"/>
                <w:szCs w:val="20"/>
                <w:color w:val="auto"/>
              </w:rPr>
            </w:pPr>
            <w:r>
              <w:rPr>
                <w:rFonts w:ascii="Arial" w:cs="Arial" w:eastAsia="Arial" w:hAnsi="Arial"/>
                <w:sz w:val="18"/>
                <w:szCs w:val="18"/>
                <w:color w:val="auto"/>
              </w:rPr>
              <w:t>Sarbanes-Oxley Act of 2003.</w:t>
            </w:r>
          </w:p>
        </w:tc>
        <w:tc>
          <w:tcPr>
            <w:tcW w:w="23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ectPr>
          <w:pgSz w:w="11900" w:h="16838" w:orient="portrait"/>
          <w:cols w:equalWidth="0" w:num="1">
            <w:col w:w="11040"/>
          </w:cols>
          <w:pgMar w:left="240" w:top="125" w:right="619" w:bottom="0" w:gutter="0" w:footer="0" w:header="0"/>
          <w:type w:val="continuous"/>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Pr>
          <w:p>
            <w:pPr>
              <w:ind w:left="400"/>
              <w:spacing w:after="0"/>
              <w:rPr>
                <w:sz w:val="20"/>
                <w:szCs w:val="20"/>
                <w:color w:val="auto"/>
              </w:rPr>
            </w:pPr>
            <w:r>
              <w:rPr>
                <w:rFonts w:ascii="Arial" w:cs="Arial" w:eastAsia="Arial" w:hAnsi="Arial"/>
                <w:sz w:val="18"/>
                <w:szCs w:val="18"/>
                <w:color w:val="auto"/>
              </w:rPr>
              <w:t>Certifications of Chief Financial Officer pursuant to</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0" w:type="dxa"/>
            <w:vAlign w:val="bottom"/>
          </w:tcPr>
          <w:p>
            <w:pPr>
              <w:spacing w:after="0"/>
              <w:rPr>
                <w:sz w:val="18"/>
                <w:szCs w:val="18"/>
                <w:color w:val="auto"/>
              </w:rPr>
            </w:pPr>
          </w:p>
        </w:tc>
        <w:tc>
          <w:tcPr>
            <w:tcW w:w="7180" w:type="dxa"/>
            <w:vAlign w:val="bottom"/>
          </w:tcPr>
          <w:p>
            <w:pPr>
              <w:ind w:left="580"/>
              <w:spacing w:after="0"/>
              <w:rPr>
                <w:sz w:val="20"/>
                <w:szCs w:val="20"/>
                <w:color w:val="auto"/>
              </w:rPr>
            </w:pPr>
            <w:r>
              <w:rPr>
                <w:rFonts w:ascii="Arial" w:cs="Arial" w:eastAsia="Arial" w:hAnsi="Arial"/>
                <w:sz w:val="18"/>
                <w:szCs w:val="18"/>
                <w:color w:val="auto"/>
              </w:rPr>
              <w:t>Exchange Act Rules 13a-14(a) and 15d-14(a), as</w:t>
            </w:r>
          </w:p>
        </w:tc>
        <w:tc>
          <w:tcPr>
            <w:tcW w:w="31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180" w:type="dxa"/>
            <w:vAlign w:val="bottom"/>
          </w:tcPr>
          <w:p>
            <w:pPr>
              <w:ind w:left="580"/>
              <w:spacing w:after="0"/>
              <w:rPr>
                <w:sz w:val="20"/>
                <w:szCs w:val="20"/>
                <w:color w:val="auto"/>
              </w:rPr>
            </w:pPr>
            <w:r>
              <w:rPr>
                <w:rFonts w:ascii="Arial" w:cs="Arial" w:eastAsia="Arial" w:hAnsi="Arial"/>
                <w:sz w:val="18"/>
                <w:szCs w:val="18"/>
                <w:color w:val="auto"/>
              </w:rPr>
              <w:t>adopted pursuant to Section 302 of the Sarbanes-</w:t>
            </w:r>
          </w:p>
        </w:tc>
        <w:tc>
          <w:tcPr>
            <w:tcW w:w="31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7180" w:type="dxa"/>
            <w:vAlign w:val="bottom"/>
          </w:tcPr>
          <w:p>
            <w:pPr>
              <w:ind w:left="580"/>
              <w:spacing w:after="0"/>
              <w:rPr>
                <w:sz w:val="20"/>
                <w:szCs w:val="20"/>
                <w:color w:val="auto"/>
              </w:rPr>
            </w:pPr>
            <w:r>
              <w:rPr>
                <w:rFonts w:ascii="Arial" w:cs="Arial" w:eastAsia="Arial" w:hAnsi="Arial"/>
                <w:sz w:val="18"/>
                <w:szCs w:val="18"/>
                <w:color w:val="auto"/>
              </w:rPr>
              <w:t>Oxley Act of 2003.</w:t>
            </w:r>
          </w:p>
        </w:tc>
        <w:tc>
          <w:tcPr>
            <w:tcW w:w="3120" w:type="dxa"/>
            <w:vAlign w:val="bottom"/>
          </w:tcPr>
          <w:p>
            <w:pPr>
              <w:spacing w:after="0"/>
              <w:rPr>
                <w:sz w:val="20"/>
                <w:szCs w:val="20"/>
                <w:color w:val="auto"/>
              </w:rPr>
            </w:pP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718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and Chief</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0" w:type="dxa"/>
            <w:vAlign w:val="bottom"/>
          </w:tcPr>
          <w:p>
            <w:pPr>
              <w:spacing w:after="0"/>
              <w:rPr>
                <w:sz w:val="18"/>
                <w:szCs w:val="18"/>
                <w:color w:val="auto"/>
              </w:rPr>
            </w:pPr>
          </w:p>
        </w:tc>
        <w:tc>
          <w:tcPr>
            <w:tcW w:w="7180" w:type="dxa"/>
            <w:vAlign w:val="bottom"/>
          </w:tcPr>
          <w:p>
            <w:pPr>
              <w:ind w:left="580"/>
              <w:spacing w:after="0"/>
              <w:rPr>
                <w:sz w:val="20"/>
                <w:szCs w:val="20"/>
                <w:color w:val="auto"/>
              </w:rPr>
            </w:pPr>
            <w:r>
              <w:rPr>
                <w:rFonts w:ascii="Arial" w:cs="Arial" w:eastAsia="Arial" w:hAnsi="Arial"/>
                <w:sz w:val="18"/>
                <w:szCs w:val="18"/>
                <w:color w:val="auto"/>
              </w:rPr>
              <w:t>Financial Officer pursuant to 18 U.S.C. Section</w:t>
            </w:r>
          </w:p>
        </w:tc>
        <w:tc>
          <w:tcPr>
            <w:tcW w:w="31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180" w:type="dxa"/>
            <w:vAlign w:val="bottom"/>
          </w:tcPr>
          <w:p>
            <w:pPr>
              <w:ind w:left="580"/>
              <w:spacing w:after="0"/>
              <w:rPr>
                <w:sz w:val="20"/>
                <w:szCs w:val="20"/>
                <w:color w:val="auto"/>
              </w:rPr>
            </w:pPr>
            <w:r>
              <w:rPr>
                <w:rFonts w:ascii="Arial" w:cs="Arial" w:eastAsia="Arial" w:hAnsi="Arial"/>
                <w:sz w:val="18"/>
                <w:szCs w:val="18"/>
                <w:color w:val="auto"/>
              </w:rPr>
              <w:t>1350, as adopted pursuant to Section 906 of the</w:t>
            </w:r>
          </w:p>
        </w:tc>
        <w:tc>
          <w:tcPr>
            <w:tcW w:w="31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7180" w:type="dxa"/>
            <w:vAlign w:val="bottom"/>
          </w:tcPr>
          <w:p>
            <w:pPr>
              <w:ind w:left="580"/>
              <w:spacing w:after="0"/>
              <w:rPr>
                <w:sz w:val="20"/>
                <w:szCs w:val="20"/>
                <w:color w:val="auto"/>
              </w:rPr>
            </w:pPr>
            <w:r>
              <w:rPr>
                <w:rFonts w:ascii="Arial" w:cs="Arial" w:eastAsia="Arial" w:hAnsi="Arial"/>
                <w:sz w:val="18"/>
                <w:szCs w:val="18"/>
                <w:color w:val="auto"/>
              </w:rPr>
              <w:t>Sarbanes-Oxley Act of 2003.</w:t>
            </w:r>
          </w:p>
        </w:tc>
        <w:tc>
          <w:tcPr>
            <w:tcW w:w="3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filed as an Exhibit to this form pursuant to Items 14(a) and 14(c)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311785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40"/>
          </w:cols>
          <w:pgMar w:left="240" w:top="125" w:right="6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10.8A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LOAN DOCUMENTS</w:t>
      </w:r>
    </w:p>
    <w:p>
      <w:pPr>
        <w:spacing w:after="0" w:line="21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This Fourth Amendment to Loan Documents is entered into as of March 7, 2007 (the “Amendment”), by and between COMERICA BANK (“Bank”), and ALIGN TECHNOLOGY, INC.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Borrower and Bank are parties to that certain Amended and Restated Loan and Security Agreement dated as of December 16, 2005 as amended from time to time, including without limitation by that certain First Amendment to Amended and Restated Loan and Security Agreement dated as of November 15, 2006, that certain Second Amendment to Amended and Restated Loan and Security Agreement dated as of December 1, 2006 and that certain Third Amendment to Amended and Restated Loan and Security Agreement dated as of December 22, 2006 (collectively, the “Agreement”) and that certain LIBOR Addendum to Amended and Restated Loan and Security Agreement dated as of December 1, 2006 (the “LIBOR Addendum”). The parties desire to amend the Agreement and the LIBOR Addendum in accordance with the terms of this Amendment.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ind w:left="1280" w:hanging="624"/>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defined terms are hereby amended or added to Section 1.1 of the Agreement to read as follows:</w:t>
      </w:r>
    </w:p>
    <w:p>
      <w:pPr>
        <w:spacing w:after="0" w:line="225" w:lineRule="exact"/>
        <w:rPr>
          <w:sz w:val="20"/>
          <w:szCs w:val="20"/>
          <w:color w:val="auto"/>
        </w:rPr>
      </w:pPr>
    </w:p>
    <w:p>
      <w:pPr>
        <w:ind w:right="180" w:firstLine="1297"/>
        <w:spacing w:after="0" w:line="308" w:lineRule="auto"/>
        <w:rPr>
          <w:sz w:val="20"/>
          <w:szCs w:val="20"/>
          <w:color w:val="auto"/>
        </w:rPr>
      </w:pPr>
      <w:r>
        <w:rPr>
          <w:rFonts w:ascii="Arial" w:cs="Arial" w:eastAsia="Arial" w:hAnsi="Arial"/>
          <w:sz w:val="17"/>
          <w:szCs w:val="17"/>
          <w:color w:val="auto"/>
        </w:rPr>
        <w:t>“Cash Equivalents” means investments with (i) a weighted average maturity of the total portfolio not exceeding 360 days, (ii) a maximum two (2) year maturity on any one security, and (iii) no more that 25% of the portfolio invested or having a tenor of more than two (2) years.</w:t>
      </w:r>
    </w:p>
    <w:p>
      <w:pPr>
        <w:spacing w:after="0" w:line="14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“Committed Revolving Line” means a Credit Extension of up to (i) beginning on the Closing Date through January 1, 2008, Twenty Million Dollars ($20,000,000), and (ii) beginning on January 2, 2008 and thereafter, Twenty Five Million Dollars ($25,000,000).</w:t>
      </w:r>
    </w:p>
    <w:p>
      <w:pPr>
        <w:spacing w:after="0" w:line="170"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“Current Liabilities” means, as of any applicable date, all amounts that should, in accordance with GAAP, be included as current liabilities on the consolidated balance sheet of Borrower and its Subsidiaries, as at such date, plus, to the extent not already included therein, all Indebtedness owing by Borrower to Bank but excluding non-refundable deferred revenue.</w:t>
      </w:r>
    </w:p>
    <w:p>
      <w:pPr>
        <w:spacing w:after="0" w:line="181" w:lineRule="exact"/>
        <w:rPr>
          <w:sz w:val="20"/>
          <w:szCs w:val="20"/>
          <w:color w:val="auto"/>
        </w:rPr>
      </w:pPr>
    </w:p>
    <w:p>
      <w:pPr>
        <w:jc w:val="both"/>
        <w:ind w:right="40" w:firstLine="1297"/>
        <w:spacing w:after="0" w:line="286" w:lineRule="auto"/>
        <w:rPr>
          <w:sz w:val="20"/>
          <w:szCs w:val="20"/>
          <w:color w:val="auto"/>
        </w:rPr>
      </w:pPr>
      <w:r>
        <w:rPr>
          <w:rFonts w:ascii="Arial" w:cs="Arial" w:eastAsia="Arial" w:hAnsi="Arial"/>
          <w:sz w:val="17"/>
          <w:szCs w:val="17"/>
          <w:color w:val="auto"/>
        </w:rPr>
        <w:t>“Quick Assets” means, at any date as of which the amount thereof shall be determined, the unrestricted cash and Cash Equivalents, plus net accounts receivable (with a minimum of $20,000,000 in domestic unrestricted cash during 2007 and a minimum of $25,000,000 in domestic unrestricted cash beginning March 31, 2008 and thereafter) of Borrower determined on a consolidated basis in accordance with GAAP.</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“Revolving Maturity Date” means December 31, 2008.</w:t>
      </w:r>
    </w:p>
    <w:p>
      <w:pPr>
        <w:spacing w:after="0" w:line="225" w:lineRule="exact"/>
        <w:rPr>
          <w:sz w:val="20"/>
          <w:szCs w:val="20"/>
          <w:color w:val="auto"/>
        </w:rPr>
      </w:pPr>
    </w:p>
    <w:p>
      <w:pPr>
        <w:ind w:left="1280" w:hanging="624"/>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reference to “5%” a subsection (g) of the defined term “Permitted Indebtedness” is amended to be “10%”.</w:t>
      </w:r>
    </w:p>
    <w:p>
      <w:pPr>
        <w:spacing w:after="0" w:line="225" w:lineRule="exact"/>
        <w:rPr>
          <w:rFonts w:ascii="Arial" w:cs="Arial" w:eastAsia="Arial" w:hAnsi="Arial"/>
          <w:sz w:val="18"/>
          <w:szCs w:val="18"/>
          <w:color w:val="auto"/>
        </w:rPr>
      </w:pPr>
    </w:p>
    <w:p>
      <w:pPr>
        <w:ind w:right="20" w:firstLine="656"/>
        <w:spacing w:after="0" w:line="297" w:lineRule="auto"/>
        <w:tabs>
          <w:tab w:leader="none" w:pos="1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Subsection (e) of the defined term “Permitted Investment” is amended to read in its entirety as follows: “(e) Investments of Subsidiaries in or to other Subsidiaries or Borrower and Investments by Borrower in Subsidiaries not to exceed Three Million Dollars ($3,000,000) in the aggregate in any fiscal year provided however that (i) such Investments in Costa Rica in an aggregate amount exceeding $25,000,000 shall be deemed “Permitted Investments” if Bank is granted and maintains a first priority perfected security interest in the stock, units or other evidence of ownership of each Subsidiary (not to exceed sixty-six percent (66%) of such stock, units or other evidence of ownership of any such Subsidiary) on terms satisfactory to Bank.</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56"/>
        <w:spacing w:after="0" w:line="277" w:lineRule="auto"/>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new Subsection (h) of the defined term “Permitted Transfer” is added to the Agreement to read as follows: “; or (h) Transfers of net fixed assets between Juarez, Mexico and Costa Rica”.</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reference to “0.0125%” in Section 2.6 of the Agreement is amended to be “0.05%”.</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6.2 of the Agreement is amended in its entirety to read as follows:</w:t>
      </w:r>
    </w:p>
    <w:p>
      <w:pPr>
        <w:spacing w:after="0" w:line="221"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 xml:space="preserve">Financial Statements, Reports, Certificates. </w:t>
      </w:r>
      <w:r>
        <w:rPr>
          <w:rFonts w:ascii="Arial" w:cs="Arial" w:eastAsia="Arial" w:hAnsi="Arial"/>
          <w:sz w:val="16"/>
          <w:szCs w:val="16"/>
          <w:color w:val="auto"/>
        </w:rPr>
        <w:t>Borrower shall deliver to Bank: (i) as soon as available, but in any event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within forty five (45) days after the end of each calendar quarter, a company prepared consolidated and consolidating balance sheet and income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covering Borrower’s consolidated operations during such period, in a form reasonably acceptable to Bank and certified by a Responsible Officer, together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Compliance Certificate signed by a Responsible Officer in substantially the form of Exhibit D hereto; (b) as soon as available, but in any event within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ninety (90) days after the end of Borrower’s fiscal year, audited consolidated financial statements of Borrower prepared in accordance with GAAP,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consistently applied, together with an opinion which is unqualified or otherwise consented to in writing by Bank on such financial statements of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independent certified public accounting firm reasonably acceptable to Bank; (c) copies of all statements, reports and notices sent or made available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Borrower to its security holders or to any holders of Subordinated Debt and all reports on Forms 10-K (which shall be delivered within ninety (90)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end of each fiscal year of Borrower) and 10-Q (which shall be delivered within forty-five (45) days after the end of each fiscal quarter of Borrower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Securities and Exchange Commission; (d) promptly upon receipt of notice thereof, a report of any legal actions pending or threatened against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Borrower or any Subsidiary that could reasonably be expected to result in damages or costs to Borrower or any Subsidiary of Five Million Dollars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 or more; and (e) such budgets, sales projections and pipelines, operating plans or other financial exhibits and information generally prepared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Borrower in the ordinary course of business as Bank may reasonably request from time to time.</w:t>
      </w:r>
    </w:p>
    <w:p>
      <w:pPr>
        <w:spacing w:after="0" w:line="211" w:lineRule="exact"/>
        <w:rPr>
          <w:sz w:val="20"/>
          <w:szCs w:val="20"/>
          <w:color w:val="auto"/>
        </w:rPr>
      </w:pPr>
    </w:p>
    <w:p>
      <w:pPr>
        <w:ind w:left="2580" w:hanging="627"/>
        <w:spacing w:after="0"/>
        <w:tabs>
          <w:tab w:leader="none" w:pos="2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Within fifteen (15) days after the end of each calendar quarter, aged listings of accounts receivable and accounts payable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invoice date.</w:t>
      </w:r>
    </w:p>
    <w:p>
      <w:pPr>
        <w:sectPr>
          <w:pgSz w:w="11900" w:h="16838" w:orient="portrait"/>
          <w:cols w:equalWidth="0" w:num="1">
            <w:col w:w="11420"/>
          </w:cols>
          <w:pgMar w:left="240" w:top="121" w:right="239" w:bottom="58" w:gutter="0" w:footer="0" w:header="0"/>
        </w:sectPr>
      </w:pPr>
    </w:p>
    <w:bookmarkStart w:id="60" w:name="page61"/>
    <w:bookmarkEnd w:id="60"/>
    <w:p>
      <w:pPr>
        <w:jc w:val="both"/>
        <w:ind w:right="80" w:firstLine="1953"/>
        <w:spacing w:after="0" w:line="342" w:lineRule="auto"/>
        <w:tabs>
          <w:tab w:leader="none" w:pos="2575" w:val="left"/>
        </w:tabs>
        <w:numPr>
          <w:ilvl w:val="2"/>
          <w:numId w:val="44"/>
        </w:numPr>
        <w:rPr>
          <w:rFonts w:ascii="Arial" w:cs="Arial" w:eastAsia="Arial" w:hAnsi="Arial"/>
          <w:sz w:val="16"/>
          <w:szCs w:val="16"/>
          <w:color w:val="auto"/>
        </w:rPr>
      </w:pPr>
      <w:r>
        <w:rPr>
          <w:rFonts w:ascii="Arial" w:cs="Arial" w:eastAsia="Arial" w:hAnsi="Arial"/>
          <w:sz w:val="16"/>
          <w:szCs w:val="16"/>
          <w:color w:val="auto"/>
        </w:rPr>
        <w:t>Within 45 days after the last day of each quarter, Borrower shall deliver to Bank with the quarterly financial statements a Compliance Certificate certified as of the last day of the applicable quarter and signed by a Responsible Officer in substantially the form of Exhibit E hereto.</w:t>
      </w:r>
    </w:p>
    <w:p>
      <w:pPr>
        <w:spacing w:after="0" w:line="123" w:lineRule="exact"/>
        <w:rPr>
          <w:rFonts w:ascii="Arial" w:cs="Arial" w:eastAsia="Arial" w:hAnsi="Arial"/>
          <w:sz w:val="16"/>
          <w:szCs w:val="16"/>
          <w:color w:val="auto"/>
        </w:rPr>
      </w:pPr>
    </w:p>
    <w:p>
      <w:pPr>
        <w:ind w:left="1280" w:hanging="624"/>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 6.6(a) of the Agreement is amended to read as follows:</w:t>
      </w:r>
    </w:p>
    <w:p>
      <w:pPr>
        <w:spacing w:after="0" w:line="221" w:lineRule="exact"/>
        <w:rPr>
          <w:rFonts w:ascii="Arial" w:cs="Arial" w:eastAsia="Arial" w:hAnsi="Arial"/>
          <w:sz w:val="18"/>
          <w:szCs w:val="18"/>
          <w:color w:val="auto"/>
        </w:rPr>
      </w:pPr>
    </w:p>
    <w:p>
      <w:pPr>
        <w:ind w:right="260" w:firstLine="1305"/>
        <w:spacing w:after="0" w:line="282" w:lineRule="auto"/>
        <w:tabs>
          <w:tab w:leader="none" w:pos="1917"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Quick Ratio. </w:t>
      </w:r>
      <w:r>
        <w:rPr>
          <w:rFonts w:ascii="Arial" w:cs="Arial" w:eastAsia="Arial" w:hAnsi="Arial"/>
          <w:sz w:val="18"/>
          <w:szCs w:val="18"/>
          <w:color w:val="auto"/>
        </w:rPr>
        <w:t>Borrower shall maintain, measured quarterly as of the last day of each calendar quarter, a ratio of Quick Assets to</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Liabilities, excluding deferred revenue from Current Liabilities, of at least 1.25 to 1.00.</w:t>
      </w:r>
    </w:p>
    <w:p>
      <w:pPr>
        <w:spacing w:after="0" w:line="165" w:lineRule="exact"/>
        <w:rPr>
          <w:rFonts w:ascii="Arial" w:cs="Arial" w:eastAsia="Arial" w:hAnsi="Arial"/>
          <w:sz w:val="18"/>
          <w:szCs w:val="18"/>
          <w:color w:val="auto"/>
        </w:rPr>
      </w:pPr>
    </w:p>
    <w:p>
      <w:pPr>
        <w:ind w:left="1280" w:hanging="624"/>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 6.7 of the Agreement is deleted to read as follows: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6.7</w:t>
      </w:r>
      <w:r>
        <w:rPr>
          <w:rFonts w:ascii="Arial" w:cs="Arial" w:eastAsia="Arial" w:hAnsi="Arial"/>
          <w:sz w:val="17"/>
          <w:szCs w:val="17"/>
          <w:color w:val="auto"/>
        </w:rPr>
        <w:t>[</w:t>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reference to “2,000,000” in Section 8.6 of the Agreement is hereby amended to be “5,000,000”.</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Agreement is hereby amended and replaced in its entirety with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right="160" w:firstLine="656"/>
        <w:spacing w:after="0" w:line="277" w:lineRule="auto"/>
        <w:tabs>
          <w:tab w:leader="none" w:pos="128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 to LIBOR Addendum</w:t>
      </w:r>
      <w:r>
        <w:rPr>
          <w:rFonts w:ascii="Arial" w:cs="Arial" w:eastAsia="Arial" w:hAnsi="Arial"/>
          <w:sz w:val="18"/>
          <w:szCs w:val="18"/>
          <w:color w:val="auto"/>
        </w:rPr>
        <w:t>: The reference to “a 3 month or 12 month period” in Section 1(e)(1) and Section 1(e)(2) of the LIBOR Addendum are each amended to read “a 30, 60, 90 or 360 day period”.</w:t>
      </w:r>
    </w:p>
    <w:p>
      <w:pPr>
        <w:spacing w:after="0" w:line="170" w:lineRule="exact"/>
        <w:rPr>
          <w:rFonts w:ascii="Arial" w:cs="Arial" w:eastAsia="Arial" w:hAnsi="Arial"/>
          <w:sz w:val="18"/>
          <w:szCs w:val="18"/>
          <w:color w:val="auto"/>
        </w:rPr>
      </w:pPr>
    </w:p>
    <w:p>
      <w:pPr>
        <w:ind w:right="100" w:firstLine="656"/>
        <w:spacing w:after="0" w:line="264" w:lineRule="auto"/>
        <w:tabs>
          <w:tab w:leader="none" w:pos="12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Unless otherwise defined, initially capitalized terms in this Amendment shall be as defined in the Agreement. The Agreement, as amended hereby, shall be and remain in full force and effect in accordance with its respective terms and hereby is ratified and confirmed in all respects. Borrower ratifies and reaffirms the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continuing effectiveness of all instruments, documents and agreements entered into in connection with the Agreement. As a condition to the effectiveness of this Amendment, Borrower shall pay Bank an amount equal to the Bank Expenses incurred in connection with the preparation of this Amendment.</w:t>
      </w:r>
    </w:p>
    <w:p>
      <w:pPr>
        <w:spacing w:after="0" w:line="124" w:lineRule="exact"/>
        <w:rPr>
          <w:sz w:val="20"/>
          <w:szCs w:val="20"/>
          <w:color w:val="auto"/>
        </w:rPr>
      </w:pPr>
    </w:p>
    <w:p>
      <w:pPr>
        <w:ind w:right="60" w:firstLine="656"/>
        <w:spacing w:after="0" w:line="264" w:lineRule="auto"/>
        <w:tabs>
          <w:tab w:leader="none" w:pos="12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as of the date of this Amendment, and that no Event of Default has occurred and is continuing. This Amendment may be executed in two or more counterparts, each of which shall be deemed an original, but all of which together shall constitute one instrument.</w:t>
      </w:r>
    </w:p>
    <w:p>
      <w:pPr>
        <w:spacing w:after="0" w:line="181" w:lineRule="exact"/>
        <w:rPr>
          <w:rFonts w:ascii="Arial" w:cs="Arial" w:eastAsia="Arial" w:hAnsi="Arial"/>
          <w:sz w:val="18"/>
          <w:szCs w:val="18"/>
          <w:color w:val="auto"/>
        </w:rPr>
      </w:pPr>
    </w:p>
    <w:p>
      <w:pPr>
        <w:ind w:right="160" w:firstLine="656"/>
        <w:spacing w:after="0" w:line="277" w:lineRule="auto"/>
        <w:tabs>
          <w:tab w:leader="none" w:pos="12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a condition to the effectiveness of this Amendment, Bank shall have received, in form and substance satisfactory to Bank, the following:</w:t>
      </w:r>
    </w:p>
    <w:p>
      <w:pPr>
        <w:spacing w:after="0" w:line="248" w:lineRule="exact"/>
        <w:rPr>
          <w:rFonts w:ascii="Arial" w:cs="Arial" w:eastAsia="Arial" w:hAnsi="Arial"/>
          <w:sz w:val="16"/>
          <w:szCs w:val="16"/>
          <w:color w:val="auto"/>
        </w:rPr>
      </w:pPr>
    </w:p>
    <w:p>
      <w:pPr>
        <w:ind w:left="2580" w:hanging="627"/>
        <w:spacing w:after="0"/>
        <w:tabs>
          <w:tab w:leader="none" w:pos="2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Amendment, duly executed by Borrower;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Corporate Resolutions to Borrow;</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amount equal to all Bank Expenses incurred through the date of this Amendment; and</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such other documents, and completion of such other matters, as Bank may reasonably deem necessary or appropriate.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Amendment as of the first date above written.</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ALIGN TECHNOLOGY, INC.</w:t>
      </w:r>
    </w:p>
    <w:p>
      <w:pPr>
        <w:spacing w:after="0" w:line="200" w:lineRule="exact"/>
        <w:rPr>
          <w:sz w:val="20"/>
          <w:szCs w:val="20"/>
          <w:color w:val="auto"/>
        </w:rPr>
      </w:pPr>
    </w:p>
    <w:p>
      <w:pPr>
        <w:spacing w:after="0" w:line="24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Eldon M.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5558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VP FINANCE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24784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COMERICA BANK</w:t>
      </w:r>
    </w:p>
    <w:p>
      <w:pPr>
        <w:spacing w:after="0" w:line="200" w:lineRule="exact"/>
        <w:rPr>
          <w:sz w:val="20"/>
          <w:szCs w:val="20"/>
          <w:color w:val="auto"/>
        </w:rPr>
      </w:pPr>
    </w:p>
    <w:p>
      <w:pPr>
        <w:spacing w:after="0" w:line="24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Jerry Iwata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5558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24955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COMPLIANCE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COMERICA BANK</w:t>
      </w:r>
    </w:p>
    <w:p>
      <w:pPr>
        <w:sectPr>
          <w:pgSz w:w="11900" w:h="16838" w:orient="portrait"/>
          <w:cols w:equalWidth="0" w:num="1">
            <w:col w:w="11380"/>
          </w:cols>
          <w:pgMar w:left="240" w:top="125" w:right="279" w:bottom="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FROM: ALIGN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authorized officer of Align Technology, Inc. hereby certifies that in accordance with the terms and conditions of the Amended and Restated</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Loan and Security Agreement between Borrower and Bank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 Borrower is in complete compliance for the period ending with all required covenants, including without limitation Section 6.6 and 6.7, except as noted below and (ii) all representations and warranties of Borrower stated in the Agreement are true and correct in all material respects as of the date hereof. Attached herewith are the required documents supporting the above certification. The Officer further certifies that these are prepared in accordance with Generally Accepted Accounting Principles (GAAP) and are consistently applied from one period to the next except as explained in an accompanying letter or footnotes.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compliance status by circling Yes/No under “</w:t>
      </w:r>
      <w:r>
        <w:rPr>
          <w:rFonts w:ascii="Arial" w:cs="Arial" w:eastAsia="Arial" w:hAnsi="Arial"/>
          <w:sz w:val="18"/>
          <w:szCs w:val="18"/>
          <w:i w:val="1"/>
          <w:iCs w:val="1"/>
          <w:color w:val="auto"/>
        </w:rPr>
        <w:t>Complies</w:t>
      </w:r>
      <w:r>
        <w:rPr>
          <w:rFonts w:ascii="Arial" w:cs="Arial" w:eastAsia="Arial" w:hAnsi="Arial"/>
          <w:sz w:val="18"/>
          <w:szCs w:val="18"/>
          <w:color w:val="auto"/>
        </w:rPr>
        <w:t>” column.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40" w:type="dxa"/>
            <w:vAlign w:val="bottom"/>
            <w:gridSpan w:val="2"/>
          </w:tcPr>
          <w:p>
            <w:pPr>
              <w:ind w:left="1020"/>
              <w:spacing w:after="0"/>
              <w:rPr>
                <w:sz w:val="20"/>
                <w:szCs w:val="20"/>
                <w:color w:val="auto"/>
              </w:rPr>
            </w:pPr>
            <w:r>
              <w:rPr>
                <w:rFonts w:ascii="Arial" w:cs="Arial" w:eastAsia="Arial" w:hAnsi="Arial"/>
                <w:sz w:val="14"/>
                <w:szCs w:val="14"/>
                <w:b w:val="1"/>
                <w:bCs w:val="1"/>
                <w:color w:val="auto"/>
              </w:rPr>
              <w:t>Required</w:t>
            </w:r>
          </w:p>
        </w:tc>
        <w:tc>
          <w:tcPr>
            <w:tcW w:w="38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Complies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384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Quarterly within 45 days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Yes</w:t>
            </w:r>
          </w:p>
        </w:tc>
        <w:tc>
          <w:tcPr>
            <w:tcW w:w="1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Annual (CPA Audited)</w:t>
            </w:r>
          </w:p>
        </w:tc>
        <w:tc>
          <w:tcPr>
            <w:tcW w:w="3840" w:type="dxa"/>
            <w:vAlign w:val="bottom"/>
            <w:gridSpan w:val="4"/>
          </w:tcPr>
          <w:p>
            <w:pPr>
              <w:ind w:left="260"/>
              <w:spacing w:after="0"/>
              <w:rPr>
                <w:sz w:val="20"/>
                <w:szCs w:val="20"/>
                <w:color w:val="auto"/>
              </w:rPr>
            </w:pPr>
            <w:r>
              <w:rPr>
                <w:rFonts w:ascii="Arial" w:cs="Arial" w:eastAsia="Arial" w:hAnsi="Arial"/>
                <w:sz w:val="18"/>
                <w:szCs w:val="18"/>
                <w:color w:val="auto"/>
              </w:rPr>
              <w:t>FYE within 90 days</w:t>
            </w:r>
          </w:p>
        </w:tc>
        <w:tc>
          <w:tcPr>
            <w:tcW w:w="380" w:type="dxa"/>
            <w:vAlign w:val="bottom"/>
          </w:tcPr>
          <w:p>
            <w:pPr>
              <w:spacing w:after="0"/>
              <w:rPr>
                <w:sz w:val="20"/>
                <w:szCs w:val="20"/>
                <w:color w:val="auto"/>
              </w:rPr>
            </w:pPr>
            <w:r>
              <w:rPr>
                <w:rFonts w:ascii="Arial" w:cs="Arial" w:eastAsia="Arial" w:hAnsi="Arial"/>
                <w:sz w:val="18"/>
                <w:szCs w:val="18"/>
                <w:color w:val="auto"/>
              </w:rPr>
              <w:t>Yes</w:t>
            </w:r>
          </w:p>
        </w:tc>
        <w:tc>
          <w:tcPr>
            <w:tcW w:w="1240" w:type="dxa"/>
            <w:vAlign w:val="bottom"/>
          </w:tcPr>
          <w:p>
            <w:pPr>
              <w:ind w:left="6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10K and 10Q</w:t>
            </w:r>
          </w:p>
        </w:tc>
        <w:tc>
          <w:tcPr>
            <w:tcW w:w="6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9"/>
              </w:rPr>
              <w:t>10K</w:t>
            </w:r>
          </w:p>
        </w:tc>
        <w:tc>
          <w:tcPr>
            <w:tcW w:w="32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(FYE within 90 days) and</w:t>
            </w:r>
          </w:p>
        </w:tc>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Yes</w:t>
            </w:r>
          </w:p>
        </w:tc>
        <w:tc>
          <w:tcPr>
            <w:tcW w:w="124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10Q</w:t>
            </w: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(Quarterly within 45 days)</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A/R &amp; A/P Agings</w:t>
            </w:r>
          </w:p>
        </w:tc>
        <w:tc>
          <w:tcPr>
            <w:tcW w:w="3840" w:type="dxa"/>
            <w:vAlign w:val="bottom"/>
            <w:gridSpan w:val="4"/>
          </w:tcPr>
          <w:p>
            <w:pPr>
              <w:ind w:left="260"/>
              <w:spacing w:after="0"/>
              <w:rPr>
                <w:sz w:val="20"/>
                <w:szCs w:val="20"/>
                <w:color w:val="auto"/>
              </w:rPr>
            </w:pPr>
            <w:r>
              <w:rPr>
                <w:rFonts w:ascii="Arial" w:cs="Arial" w:eastAsia="Arial" w:hAnsi="Arial"/>
                <w:sz w:val="18"/>
                <w:szCs w:val="18"/>
                <w:color w:val="auto"/>
              </w:rPr>
              <w:t>Quarterly within 15 days</w:t>
            </w:r>
          </w:p>
        </w:tc>
        <w:tc>
          <w:tcPr>
            <w:tcW w:w="380" w:type="dxa"/>
            <w:vAlign w:val="bottom"/>
          </w:tcPr>
          <w:p>
            <w:pPr>
              <w:spacing w:after="0"/>
              <w:rPr>
                <w:sz w:val="20"/>
                <w:szCs w:val="20"/>
                <w:color w:val="auto"/>
              </w:rPr>
            </w:pPr>
            <w:r>
              <w:rPr>
                <w:rFonts w:ascii="Arial" w:cs="Arial" w:eastAsia="Arial" w:hAnsi="Arial"/>
                <w:sz w:val="18"/>
                <w:szCs w:val="18"/>
                <w:color w:val="auto"/>
              </w:rPr>
              <w:t>Yes</w:t>
            </w:r>
          </w:p>
        </w:tc>
        <w:tc>
          <w:tcPr>
            <w:tcW w:w="1240" w:type="dxa"/>
            <w:vAlign w:val="bottom"/>
          </w:tcPr>
          <w:p>
            <w:pPr>
              <w:ind w:left="6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Financial Covenant</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2"/>
          </w:tcPr>
          <w:p>
            <w:pPr>
              <w:ind w:left="660"/>
              <w:spacing w:after="0"/>
              <w:rPr>
                <w:sz w:val="20"/>
                <w:szCs w:val="20"/>
                <w:color w:val="auto"/>
              </w:rPr>
            </w:pPr>
            <w:r>
              <w:rPr>
                <w:rFonts w:ascii="Arial" w:cs="Arial" w:eastAsia="Arial" w:hAnsi="Arial"/>
                <w:sz w:val="14"/>
                <w:szCs w:val="14"/>
                <w:b w:val="1"/>
                <w:bCs w:val="1"/>
                <w:color w:val="auto"/>
              </w:rPr>
              <w:t>Required</w:t>
            </w: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Complies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Maintain on a Quarterly Basis:</w:t>
            </w:r>
          </w:p>
        </w:tc>
        <w:tc>
          <w:tcPr>
            <w:tcW w:w="7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Minimum Quick Ration</w:t>
            </w:r>
          </w:p>
        </w:tc>
        <w:tc>
          <w:tcPr>
            <w:tcW w:w="3440" w:type="dxa"/>
            <w:vAlign w:val="bottom"/>
            <w:gridSpan w:val="6"/>
          </w:tcPr>
          <w:p>
            <w:pPr>
              <w:ind w:left="1540"/>
              <w:spacing w:after="0"/>
              <w:rPr>
                <w:sz w:val="20"/>
                <w:szCs w:val="20"/>
                <w:color w:val="auto"/>
              </w:rPr>
            </w:pPr>
            <w:r>
              <w:rPr>
                <w:rFonts w:ascii="Arial" w:cs="Arial" w:eastAsia="Arial" w:hAnsi="Arial"/>
                <w:sz w:val="18"/>
                <w:szCs w:val="18"/>
                <w:color w:val="auto"/>
              </w:rPr>
              <w:t>1.25:1.00</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Yes</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56"/>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Comments Regarding Exceptions: </w:t>
            </w:r>
            <w:r>
              <w:rPr>
                <w:rFonts w:ascii="Arial" w:cs="Arial" w:eastAsia="Arial" w:hAnsi="Arial"/>
                <w:sz w:val="18"/>
                <w:szCs w:val="18"/>
                <w:color w:val="auto"/>
              </w:rPr>
              <w:t>See Attached.</w:t>
            </w:r>
          </w:p>
        </w:tc>
        <w:tc>
          <w:tcPr>
            <w:tcW w:w="3720" w:type="dxa"/>
            <w:vAlign w:val="bottom"/>
            <w:tcBorders>
              <w:bottom w:val="single" w:sz="8" w:color="auto"/>
            </w:tcBorders>
            <w:gridSpan w:val="7"/>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740" w:type="dxa"/>
            <w:vAlign w:val="bottom"/>
            <w:gridSpan w:val="2"/>
            <w:vMerge w:val="continue"/>
          </w:tcPr>
          <w:p>
            <w:pPr>
              <w:spacing w:after="0"/>
              <w:rPr>
                <w:sz w:val="19"/>
                <w:szCs w:val="19"/>
                <w:color w:val="auto"/>
              </w:rPr>
            </w:pPr>
          </w:p>
        </w:tc>
        <w:tc>
          <w:tcPr>
            <w:tcW w:w="3720" w:type="dxa"/>
            <w:vAlign w:val="bottom"/>
            <w:tcBorders>
              <w:left w:val="single" w:sz="8" w:color="auto"/>
            </w:tcBorders>
            <w:gridSpan w:val="7"/>
          </w:tcPr>
          <w:p>
            <w:pPr>
              <w:ind w:left="200"/>
              <w:spacing w:after="0"/>
              <w:rPr>
                <w:sz w:val="20"/>
                <w:szCs w:val="20"/>
                <w:color w:val="auto"/>
              </w:rPr>
            </w:pPr>
            <w:r>
              <w:rPr>
                <w:rFonts w:ascii="Arial" w:cs="Arial" w:eastAsia="Arial" w:hAnsi="Arial"/>
                <w:sz w:val="18"/>
                <w:szCs w:val="18"/>
                <w:b w:val="1"/>
                <w:bCs w:val="1"/>
                <w:color w:val="auto"/>
              </w:rPr>
              <w:t>BANK USE ONLY</w:t>
            </w: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720" w:type="dxa"/>
            <w:vAlign w:val="bottom"/>
            <w:tcBorders>
              <w:left w:val="single" w:sz="8" w:color="auto"/>
            </w:tcBorders>
            <w:gridSpan w:val="7"/>
          </w:tcPr>
          <w:p>
            <w:pPr>
              <w:ind w:left="200"/>
              <w:spacing w:after="0"/>
              <w:rPr>
                <w:sz w:val="20"/>
                <w:szCs w:val="20"/>
                <w:color w:val="auto"/>
              </w:rPr>
            </w:pPr>
            <w:r>
              <w:rPr>
                <w:rFonts w:ascii="Arial" w:cs="Arial" w:eastAsia="Arial" w:hAnsi="Arial"/>
                <w:sz w:val="18"/>
                <w:szCs w:val="18"/>
                <w:color w:val="auto"/>
              </w:rPr>
              <w:t>Received by:</w:t>
            </w:r>
          </w:p>
        </w:tc>
        <w:tc>
          <w:tcPr>
            <w:tcW w:w="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Sincerely,</w:t>
            </w:r>
          </w:p>
        </w:tc>
        <w:tc>
          <w:tcPr>
            <w:tcW w:w="3720" w:type="dxa"/>
            <w:vAlign w:val="bottom"/>
            <w:tcBorders>
              <w:left w:val="single" w:sz="8" w:color="auto"/>
            </w:tcBorders>
            <w:gridSpan w:val="7"/>
          </w:tcPr>
          <w:p>
            <w:pPr>
              <w:ind w:left="200"/>
              <w:spacing w:after="0"/>
              <w:rPr>
                <w:sz w:val="20"/>
                <w:szCs w:val="20"/>
                <w:color w:val="auto"/>
              </w:rPr>
            </w:pPr>
            <w:r>
              <w:rPr>
                <w:rFonts w:ascii="Arial" w:cs="Arial" w:eastAsia="Arial" w:hAnsi="Arial"/>
                <w:sz w:val="18"/>
                <w:szCs w:val="18"/>
                <w:color w:val="auto"/>
              </w:rPr>
              <w:t>AUTHORIZED SIGNER</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gridSpan w:val="2"/>
            <w:vMerge w:val="continue"/>
          </w:tcPr>
          <w:p>
            <w:pPr>
              <w:spacing w:after="0"/>
              <w:rPr>
                <w:sz w:val="17"/>
                <w:szCs w:val="17"/>
                <w:color w:val="auto"/>
              </w:rPr>
            </w:pPr>
          </w:p>
        </w:tc>
        <w:tc>
          <w:tcPr>
            <w:tcW w:w="760" w:type="dxa"/>
            <w:vAlign w:val="bottom"/>
            <w:tcBorders>
              <w:left w:val="single" w:sz="8" w:color="auto"/>
            </w:tcBorders>
            <w:vMerge w:val="restart"/>
          </w:tcPr>
          <w:p>
            <w:pPr>
              <w:ind w:left="200"/>
              <w:spacing w:after="0"/>
              <w:rPr>
                <w:sz w:val="20"/>
                <w:szCs w:val="20"/>
                <w:color w:val="auto"/>
              </w:rPr>
            </w:pPr>
            <w:r>
              <w:rPr>
                <w:rFonts w:ascii="Arial" w:cs="Arial" w:eastAsia="Arial" w:hAnsi="Arial"/>
                <w:sz w:val="18"/>
                <w:szCs w:val="18"/>
                <w:color w:val="auto"/>
              </w:rPr>
              <w:t>Date:</w:t>
            </w:r>
          </w:p>
        </w:tc>
        <w:tc>
          <w:tcPr>
            <w:tcW w:w="2960" w:type="dxa"/>
            <w:vAlign w:val="bottom"/>
            <w:gridSpan w:val="6"/>
            <w:vMerge w:val="restart"/>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760" w:type="dxa"/>
            <w:vAlign w:val="bottom"/>
            <w:tcBorders>
              <w:left w:val="single" w:sz="8" w:color="auto"/>
            </w:tcBorders>
            <w:vMerge w:val="continue"/>
          </w:tcPr>
          <w:p>
            <w:pPr>
              <w:spacing w:after="0"/>
              <w:rPr>
                <w:sz w:val="18"/>
                <w:szCs w:val="18"/>
                <w:color w:val="auto"/>
              </w:rPr>
            </w:pPr>
          </w:p>
        </w:tc>
        <w:tc>
          <w:tcPr>
            <w:tcW w:w="2960" w:type="dxa"/>
            <w:vAlign w:val="bottom"/>
            <w:tcBorders>
              <w:bottom w:val="single" w:sz="8" w:color="auto"/>
            </w:tcBorders>
            <w:gridSpan w:val="6"/>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720" w:type="dxa"/>
            <w:vAlign w:val="bottom"/>
            <w:tcBorders>
              <w:left w:val="single" w:sz="8" w:color="auto"/>
            </w:tcBorders>
            <w:gridSpan w:val="7"/>
          </w:tcPr>
          <w:p>
            <w:pPr>
              <w:ind w:left="200"/>
              <w:spacing w:after="0"/>
              <w:rPr>
                <w:sz w:val="20"/>
                <w:szCs w:val="20"/>
                <w:color w:val="auto"/>
              </w:rPr>
            </w:pPr>
            <w:r>
              <w:rPr>
                <w:rFonts w:ascii="Arial" w:cs="Arial" w:eastAsia="Arial" w:hAnsi="Arial"/>
                <w:sz w:val="18"/>
                <w:szCs w:val="18"/>
                <w:color w:val="auto"/>
              </w:rPr>
              <w:t>Verified:</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tcBorders>
              <w:top w:val="single" w:sz="8" w:color="auto"/>
            </w:tcBorders>
          </w:tcPr>
          <w:p>
            <w:pPr>
              <w:spacing w:after="0" w:line="204" w:lineRule="exact"/>
              <w:rPr>
                <w:sz w:val="20"/>
                <w:szCs w:val="20"/>
                <w:color w:val="auto"/>
              </w:rPr>
            </w:pPr>
            <w:r>
              <w:rPr>
                <w:rFonts w:ascii="Arial" w:cs="Arial" w:eastAsia="Arial" w:hAnsi="Arial"/>
                <w:sz w:val="18"/>
                <w:szCs w:val="18"/>
                <w:color w:val="auto"/>
              </w:rPr>
              <w:t>SIGNATURE</w:t>
            </w:r>
          </w:p>
        </w:tc>
        <w:tc>
          <w:tcPr>
            <w:tcW w:w="1100" w:type="dxa"/>
            <w:vAlign w:val="bottom"/>
            <w:tcBorders>
              <w:left w:val="single" w:sz="8" w:color="auto"/>
            </w:tcBorders>
            <w:gridSpan w:val="3"/>
          </w:tcPr>
          <w:p>
            <w:pPr>
              <w:ind w:left="200"/>
              <w:spacing w:after="0" w:line="190" w:lineRule="exact"/>
              <w:rPr>
                <w:sz w:val="20"/>
                <w:szCs w:val="20"/>
                <w:color w:val="auto"/>
              </w:rPr>
            </w:pPr>
            <w:r>
              <w:rPr>
                <w:rFonts w:ascii="Arial" w:cs="Arial" w:eastAsia="Arial" w:hAnsi="Arial"/>
                <w:sz w:val="18"/>
                <w:szCs w:val="18"/>
                <w:color w:val="auto"/>
                <w:w w:val="75"/>
              </w:rPr>
              <w:t>AUTHORIZED</w:t>
            </w:r>
          </w:p>
        </w:tc>
        <w:tc>
          <w:tcPr>
            <w:tcW w:w="2620" w:type="dxa"/>
            <w:vAlign w:val="bottom"/>
            <w:tcBorders>
              <w:top w:val="single" w:sz="8" w:color="auto"/>
            </w:tcBorders>
            <w:gridSpan w:val="4"/>
          </w:tcPr>
          <w:p>
            <w:pPr>
              <w:ind w:left="300"/>
              <w:spacing w:after="0" w:line="204" w:lineRule="exact"/>
              <w:rPr>
                <w:sz w:val="20"/>
                <w:szCs w:val="20"/>
                <w:color w:val="auto"/>
              </w:rPr>
            </w:pPr>
            <w:r>
              <w:rPr>
                <w:rFonts w:ascii="Arial" w:cs="Arial" w:eastAsia="Arial" w:hAnsi="Arial"/>
                <w:sz w:val="18"/>
                <w:szCs w:val="18"/>
                <w:color w:val="auto"/>
              </w:rPr>
              <w:t>SIGNER</w:t>
            </w:r>
          </w:p>
        </w:tc>
        <w:tc>
          <w:tcPr>
            <w:tcW w:w="6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40" w:type="dxa"/>
            <w:vAlign w:val="bottom"/>
            <w:tcBorders>
              <w:bottom w:val="single" w:sz="8" w:color="auto"/>
            </w:tcBorders>
            <w:gridSpan w:val="2"/>
          </w:tcPr>
          <w:p>
            <w:pPr>
              <w:spacing w:after="0"/>
              <w:rPr>
                <w:sz w:val="24"/>
                <w:szCs w:val="24"/>
                <w:color w:val="auto"/>
              </w:rPr>
            </w:pPr>
          </w:p>
        </w:tc>
        <w:tc>
          <w:tcPr>
            <w:tcW w:w="800" w:type="dxa"/>
            <w:vAlign w:val="bottom"/>
            <w:tcBorders>
              <w:lef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Date:</w:t>
            </w:r>
          </w:p>
        </w:tc>
        <w:tc>
          <w:tcPr>
            <w:tcW w:w="2920" w:type="dxa"/>
            <w:vAlign w:val="bottom"/>
            <w:gridSpan w:val="5"/>
            <w:vMerge w:val="restart"/>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0" w:type="dxa"/>
            <w:vAlign w:val="bottom"/>
            <w:tcBorders>
              <w:left w:val="single" w:sz="8" w:color="auto"/>
            </w:tcBorders>
            <w:gridSpan w:val="2"/>
            <w:vMerge w:val="continue"/>
          </w:tcPr>
          <w:p>
            <w:pPr>
              <w:spacing w:after="0"/>
              <w:rPr>
                <w:sz w:val="18"/>
                <w:szCs w:val="18"/>
                <w:color w:val="auto"/>
              </w:rPr>
            </w:pPr>
          </w:p>
        </w:tc>
        <w:tc>
          <w:tcPr>
            <w:tcW w:w="2920" w:type="dxa"/>
            <w:vAlign w:val="bottom"/>
            <w:tcBorders>
              <w:bottom w:val="single" w:sz="8" w:color="auto"/>
            </w:tcBorders>
            <w:gridSpan w:val="5"/>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720" w:type="dxa"/>
            <w:vAlign w:val="bottom"/>
            <w:tcBorders>
              <w:left w:val="single" w:sz="8" w:color="auto"/>
            </w:tcBorders>
            <w:gridSpan w:val="7"/>
          </w:tcPr>
          <w:p>
            <w:pPr>
              <w:ind w:left="200"/>
              <w:spacing w:after="0"/>
              <w:rPr>
                <w:sz w:val="20"/>
                <w:szCs w:val="20"/>
                <w:color w:val="auto"/>
              </w:rPr>
            </w:pPr>
            <w:r>
              <w:rPr>
                <w:rFonts w:ascii="Arial" w:cs="Arial" w:eastAsia="Arial" w:hAnsi="Arial"/>
                <w:sz w:val="18"/>
                <w:szCs w:val="18"/>
                <w:color w:val="auto"/>
              </w:rPr>
              <w:t>Compliance Status</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YesNo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7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DATE</w:t>
            </w:r>
          </w:p>
        </w:tc>
        <w:tc>
          <w:tcPr>
            <w:tcW w:w="76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00" w:type="dxa"/>
            <w:vAlign w:val="bottom"/>
            <w:gridSpan w:val="3"/>
          </w:tcPr>
          <w:p>
            <w:pPr>
              <w:ind w:left="9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RESOLUTIONS TO BORROW</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8"/>
          <w:szCs w:val="18"/>
          <w:color w:val="auto"/>
        </w:rPr>
        <w:t>ALIGN TECHNOLOGY, INC.</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 the undersigned Secretary or Assistant Secretary of ALIGN TECHNOLOGY, INC. (the “Corporation”), HEREBY CERTIFY that the Corporation is organized and existing under and by virtue of the laws of Delaware.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 FURTHER CERTIFY that at a meeting of the Directors of the Corporation duly called and hold, at which a quorum was present and voting, (or by other duly authorized corporate action in lieu of a meeting), the following resolutions were adopted.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 IT RESOLVED, that any one (1) of the following named officers, employees, or agents of this Corporation, whose actual signatures are shown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NAMES</w:t>
            </w:r>
          </w:p>
        </w:tc>
        <w:tc>
          <w:tcPr>
            <w:tcW w:w="260" w:type="dxa"/>
            <w:vAlign w:val="bottom"/>
          </w:tcPr>
          <w:p>
            <w:pPr>
              <w:spacing w:after="0"/>
              <w:rPr>
                <w:sz w:val="14"/>
                <w:szCs w:val="14"/>
                <w:color w:val="auto"/>
              </w:rPr>
            </w:pPr>
          </w:p>
        </w:tc>
        <w:tc>
          <w:tcPr>
            <w:tcW w:w="32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POSITIONS</w:t>
            </w:r>
          </w:p>
        </w:tc>
        <w:tc>
          <w:tcPr>
            <w:tcW w:w="260" w:type="dxa"/>
            <w:vAlign w:val="bottom"/>
          </w:tcPr>
          <w:p>
            <w:pPr>
              <w:spacing w:after="0"/>
              <w:rPr>
                <w:sz w:val="14"/>
                <w:szCs w:val="14"/>
                <w:color w:val="auto"/>
              </w:rPr>
            </w:pPr>
          </w:p>
        </w:tc>
        <w:tc>
          <w:tcPr>
            <w:tcW w:w="338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ACTUAL SIGNATURES</w:t>
            </w:r>
          </w:p>
        </w:tc>
      </w:tr>
      <w:tr>
        <w:trPr>
          <w:trHeight w:val="345"/>
        </w:trPr>
        <w:tc>
          <w:tcPr>
            <w:tcW w:w="4540" w:type="dxa"/>
            <w:vAlign w:val="bottom"/>
            <w:gridSpan w:val="2"/>
          </w:tcPr>
          <w:p>
            <w:pPr>
              <w:spacing w:after="0"/>
              <w:rPr>
                <w:sz w:val="20"/>
                <w:szCs w:val="20"/>
                <w:color w:val="auto"/>
              </w:rPr>
            </w:pPr>
            <w:r>
              <w:rPr>
                <w:rFonts w:ascii="Arial" w:cs="Arial" w:eastAsia="Arial" w:hAnsi="Arial"/>
                <w:sz w:val="18"/>
                <w:szCs w:val="18"/>
                <w:color w:val="auto"/>
              </w:rPr>
              <w:t>Eldon M. Bullington</w:t>
            </w:r>
          </w:p>
        </w:tc>
        <w:tc>
          <w:tcPr>
            <w:tcW w:w="3500" w:type="dxa"/>
            <w:vAlign w:val="bottom"/>
            <w:gridSpan w:val="2"/>
          </w:tcPr>
          <w:p>
            <w:pPr>
              <w:spacing w:after="0"/>
              <w:rPr>
                <w:sz w:val="20"/>
                <w:szCs w:val="20"/>
                <w:color w:val="auto"/>
              </w:rPr>
            </w:pPr>
            <w:r>
              <w:rPr>
                <w:rFonts w:ascii="Arial" w:cs="Arial" w:eastAsia="Arial" w:hAnsi="Arial"/>
                <w:sz w:val="18"/>
                <w:szCs w:val="18"/>
                <w:color w:val="auto"/>
              </w:rPr>
              <w:t>CFO, VP Finance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Eldon M. Bullington</w:t>
            </w:r>
          </w:p>
        </w:tc>
      </w:tr>
      <w:tr>
        <w:trPr>
          <w:trHeight w:val="426"/>
        </w:trPr>
        <w:tc>
          <w:tcPr>
            <w:tcW w:w="4540" w:type="dxa"/>
            <w:vAlign w:val="bottom"/>
            <w:gridSpan w:val="2"/>
          </w:tcPr>
          <w:p>
            <w:pPr>
              <w:spacing w:after="0"/>
              <w:rPr>
                <w:sz w:val="20"/>
                <w:szCs w:val="20"/>
                <w:color w:val="auto"/>
              </w:rPr>
            </w:pPr>
            <w:r>
              <w:rPr>
                <w:rFonts w:ascii="Arial" w:cs="Arial" w:eastAsia="Arial" w:hAnsi="Arial"/>
                <w:sz w:val="18"/>
                <w:szCs w:val="18"/>
                <w:color w:val="auto"/>
              </w:rPr>
              <w:t>Kenneth Arola</w:t>
            </w:r>
          </w:p>
        </w:tc>
        <w:tc>
          <w:tcPr>
            <w:tcW w:w="3500" w:type="dxa"/>
            <w:vAlign w:val="bottom"/>
            <w:gridSpan w:val="2"/>
          </w:tcPr>
          <w:p>
            <w:pPr>
              <w:spacing w:after="0"/>
              <w:rPr>
                <w:sz w:val="20"/>
                <w:szCs w:val="20"/>
                <w:color w:val="auto"/>
              </w:rPr>
            </w:pPr>
            <w:r>
              <w:rPr>
                <w:rFonts w:ascii="Arial" w:cs="Arial" w:eastAsia="Arial" w:hAnsi="Arial"/>
                <w:sz w:val="18"/>
                <w:szCs w:val="18"/>
                <w:color w:val="auto"/>
              </w:rPr>
              <w:t>VP, Corporate Controller</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Arola</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acting for and on behalf of this Corporation and as its act and deed be, and they hereby are, authorized and empowered:</w:t>
      </w:r>
    </w:p>
    <w:p>
      <w:pPr>
        <w:spacing w:after="0" w:line="221"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Borrow Money. </w:t>
      </w:r>
      <w:r>
        <w:rPr>
          <w:rFonts w:ascii="Arial" w:cs="Arial" w:eastAsia="Arial" w:hAnsi="Arial"/>
          <w:sz w:val="18"/>
          <w:szCs w:val="18"/>
          <w:color w:val="auto"/>
        </w:rPr>
        <w:t>To borrow from time to time from COMERICA BANK (“Bank”), on such terms as may be agreed upon between the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agents of the Corporation and Bank, such sum or sums of money as in their judgment should be borrowed.</w:t>
      </w:r>
    </w:p>
    <w:p>
      <w:pPr>
        <w:spacing w:after="0" w:line="162"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b w:val="1"/>
          <w:bCs w:val="1"/>
          <w:color w:val="auto"/>
        </w:rPr>
        <w:t xml:space="preserve">Execute Loan Documents. </w:t>
      </w:r>
      <w:r>
        <w:rPr>
          <w:rFonts w:ascii="Arial" w:cs="Arial" w:eastAsia="Arial" w:hAnsi="Arial"/>
          <w:sz w:val="17"/>
          <w:szCs w:val="17"/>
          <w:color w:val="auto"/>
        </w:rPr>
        <w:t>To execute and deliver to Bank that certain Fourth Amendment to Loan Documents dated as of March 7, 2007 (the</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and also to execute and deliver to Bank one or more amendments, renewals, extensions, modifications, consolidations, or substitutions of/for the Amendment, and that certain Amended and Restated Loan and Security Agreement dated as of December 16, 2005 and that certain LIBOR Addendum to Amended and Restated Loan and Security Agreement dated as of December 1, 2006, each as amended from time to time together with all documents, agreements and instruments executed in connection therewith (collectively, the “Loan Documents”).</w:t>
      </w:r>
    </w:p>
    <w:p>
      <w:pPr>
        <w:sectPr>
          <w:pgSz w:w="11900" w:h="16838" w:orient="portrait"/>
          <w:cols w:equalWidth="0" w:num="1">
            <w:col w:w="11420"/>
          </w:cols>
          <w:pgMar w:left="240" w:top="125" w:right="239" w:bottom="0" w:gutter="0" w:footer="0" w:header="0"/>
        </w:sectPr>
      </w:pPr>
    </w:p>
    <w:bookmarkStart w:id="62" w:name="page63"/>
    <w:bookmarkEnd w:id="62"/>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Grant Security. </w:t>
      </w:r>
      <w:r>
        <w:rPr>
          <w:rFonts w:ascii="Arial" w:cs="Arial" w:eastAsia="Arial" w:hAnsi="Arial"/>
          <w:sz w:val="18"/>
          <w:szCs w:val="18"/>
          <w:color w:val="auto"/>
        </w:rPr>
        <w:t>To grant a security interest to Bank in the Collateral described in the Loan Documents, which security interest shall secure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Obligations, as described in the Loan Documents.</w:t>
      </w:r>
    </w:p>
    <w:p>
      <w:pPr>
        <w:spacing w:after="0" w:line="162"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b w:val="1"/>
          <w:bCs w:val="1"/>
          <w:color w:val="auto"/>
        </w:rPr>
        <w:t xml:space="preserve">Negotiate Items. </w:t>
      </w:r>
      <w:r>
        <w:rPr>
          <w:rFonts w:ascii="Arial" w:cs="Arial" w:eastAsia="Arial" w:hAnsi="Arial"/>
          <w:sz w:val="16"/>
          <w:szCs w:val="16"/>
          <w:color w:val="auto"/>
        </w:rPr>
        <w:t>To draw, endorse, and discount with Bank all drafts, trade acceptances, promissory notes, or other evidences of indebtedness</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to or belonging to the Corporation or in which the Corporation may have an interest, and either to receive cash for the same or to cause such proceeds to be credited to the account of the Corporation with Bank, or to cause such other disposition of the proceeds derived therefrom as they may deem advisable.</w:t>
      </w:r>
    </w:p>
    <w:p>
      <w:pPr>
        <w:spacing w:after="0" w:line="14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Further Acts. </w:t>
      </w:r>
      <w:r>
        <w:rPr>
          <w:rFonts w:ascii="Arial" w:cs="Arial" w:eastAsia="Arial" w:hAnsi="Arial"/>
          <w:sz w:val="18"/>
          <w:szCs w:val="18"/>
          <w:color w:val="auto"/>
        </w:rPr>
        <w:t>In the case of lines of credit, to designate additional or alternate individuals as being authorized to request advances thereunder,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all cases, to do and perform such other acts and things, to pay 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all fees and costs, and to execute and deliver such other documents and agreements as they may in their discretion deem reasonably necessary or proper in order to carry into effect the provisions of these Resolutions.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BE IT FURTHER RESOLVED, that any and all acts authorized pursuant to these resolutions and performed prior to the passage of these resolutions are hereby ratified and approved, that these Resolutions shall remain in full force and effect and Bank may rely on these Resolutions until written notice of their revocation shall have been delivered to and received by Bank. Any such notice shall not affect any of the Corporation’s agreements or commitments in effect at the time notice is given.</w:t>
      </w:r>
    </w:p>
    <w:p>
      <w:pPr>
        <w:spacing w:after="0" w:line="18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 FURTHER CERTIFY that the officers, employees, and agents named above are duly elected, appointed, or employed by or for the Corporation, as the case may be, and occupy the positions set forth opposite their respective names; that the foregoing Resolutions now stand of record on the books of the Corporation; and that the Resolutions are in full force and effect and have not been modified or revoked in any manner whatsoever.</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FURTHER CERTIFY that true and correct copies of the Certificate of Incorporation of the Corporation have been delivered to Bank as in full force and effect on the date hereof.</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WITNESS WHEREOF, I have hereunto set my hand on March_7, 2007 and attest that the signatures set opposite the names listed above are their genuine signatures.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CERTIFIED TO AND ATTESTED 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Roger E. George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Roger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INCENTIVE PLAN</w:t>
      </w:r>
    </w:p>
    <w:p>
      <w:pPr>
        <w:spacing w:after="0" w:line="200" w:lineRule="exact"/>
        <w:rPr>
          <w:sz w:val="20"/>
          <w:szCs w:val="20"/>
          <w:color w:val="auto"/>
        </w:rPr>
      </w:pPr>
    </w:p>
    <w:p>
      <w:pPr>
        <w:spacing w:after="0" w:line="245" w:lineRule="exact"/>
        <w:rPr>
          <w:sz w:val="20"/>
          <w:szCs w:val="20"/>
          <w:color w:val="auto"/>
        </w:rPr>
      </w:pPr>
    </w:p>
    <w:p>
      <w:pPr>
        <w:ind w:left="1380" w:hanging="724"/>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provide incentives to individuals who perform services to the Company, and</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Restricted Stock, SARs, Performance Units, Performance Shares and other stock or cash awards as the Administrator may determine.</w:t>
      </w:r>
    </w:p>
    <w:p>
      <w:pPr>
        <w:spacing w:after="0" w:line="387" w:lineRule="exact"/>
        <w:rPr>
          <w:sz w:val="20"/>
          <w:szCs w:val="20"/>
          <w:color w:val="auto"/>
        </w:rPr>
      </w:pPr>
    </w:p>
    <w:p>
      <w:pPr>
        <w:ind w:left="1380" w:hanging="724"/>
        <w:spacing w:after="0"/>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000" w:hanging="695"/>
        <w:spacing w:after="0"/>
        <w:tabs>
          <w:tab w:leader="none" w:pos="2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0" w:lineRule="exact"/>
        <w:rPr>
          <w:sz w:val="20"/>
          <w:szCs w:val="20"/>
          <w:color w:val="auto"/>
        </w:rPr>
      </w:pPr>
    </w:p>
    <w:p>
      <w:pPr>
        <w:spacing w:after="0" w:line="227" w:lineRule="exact"/>
        <w:rPr>
          <w:sz w:val="20"/>
          <w:szCs w:val="20"/>
          <w:color w:val="auto"/>
        </w:rPr>
      </w:pPr>
    </w:p>
    <w:p>
      <w:pPr>
        <w:ind w:right="220" w:firstLine="1305"/>
        <w:spacing w:after="0" w:line="277" w:lineRule="auto"/>
        <w:tabs>
          <w:tab w:leader="none" w:pos="20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corporation or any other entity (including, but not limited to, partnerships and joint ventures) controlling, controlled by, or under common control with the Company.</w:t>
      </w:r>
    </w:p>
    <w:p>
      <w:pPr>
        <w:spacing w:after="0" w:line="386" w:lineRule="exact"/>
        <w:rPr>
          <w:rFonts w:ascii="Arial" w:cs="Arial" w:eastAsia="Arial" w:hAnsi="Arial"/>
          <w:sz w:val="18"/>
          <w:szCs w:val="18"/>
          <w:color w:val="auto"/>
        </w:rPr>
      </w:pPr>
    </w:p>
    <w:p>
      <w:pPr>
        <w:ind w:right="100" w:firstLine="1305"/>
        <w:spacing w:after="0" w:line="264" w:lineRule="auto"/>
        <w:tabs>
          <w:tab w:leader="none" w:pos="19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397" w:lineRule="exact"/>
        <w:rPr>
          <w:rFonts w:ascii="Arial" w:cs="Arial" w:eastAsia="Arial" w:hAnsi="Arial"/>
          <w:sz w:val="18"/>
          <w:szCs w:val="18"/>
          <w:color w:val="auto"/>
        </w:rPr>
      </w:pPr>
    </w:p>
    <w:p>
      <w:pPr>
        <w:ind w:right="500" w:firstLine="1305"/>
        <w:spacing w:after="0" w:line="277" w:lineRule="auto"/>
        <w:tabs>
          <w:tab w:leader="none" w:pos="20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Restricted Stock, SARs, Performance Units, Performance Shares and other stock or cash awards as the Administrator may determine.</w:t>
      </w:r>
    </w:p>
    <w:p>
      <w:pPr>
        <w:spacing w:after="0" w:line="386" w:lineRule="exact"/>
        <w:rPr>
          <w:rFonts w:ascii="Arial" w:cs="Arial" w:eastAsia="Arial" w:hAnsi="Arial"/>
          <w:sz w:val="18"/>
          <w:szCs w:val="18"/>
          <w:color w:val="auto"/>
        </w:rPr>
      </w:pPr>
    </w:p>
    <w:p>
      <w:pPr>
        <w:ind w:right="280" w:firstLine="1305"/>
        <w:spacing w:after="0" w:line="277" w:lineRule="auto"/>
        <w:tabs>
          <w:tab w:leader="none" w:pos="199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386" w:lineRule="exact"/>
        <w:rPr>
          <w:rFonts w:ascii="Arial" w:cs="Arial" w:eastAsia="Arial" w:hAnsi="Arial"/>
          <w:sz w:val="18"/>
          <w:szCs w:val="18"/>
          <w:color w:val="auto"/>
        </w:rPr>
      </w:pPr>
    </w:p>
    <w:p>
      <w:pPr>
        <w:ind w:left="2020" w:hanging="71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000" w:hanging="695"/>
        <w:spacing w:after="0"/>
        <w:tabs>
          <w:tab w:leader="none" w:pos="2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20" w:firstLine="1953"/>
        <w:spacing w:after="0" w:line="264" w:lineRule="auto"/>
        <w:tabs>
          <w:tab w:leader="none" w:pos="265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consummation of the sale or disposition by the Company of all or substantially all of the Company’s assets;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9" w:lineRule="exact"/>
        <w:rPr>
          <w:rFonts w:ascii="Arial" w:cs="Arial" w:eastAsia="Arial" w:hAnsi="Arial"/>
          <w:sz w:val="17"/>
          <w:szCs w:val="17"/>
          <w:color w:val="auto"/>
        </w:rPr>
      </w:pPr>
    </w:p>
    <w:p>
      <w:pPr>
        <w:ind w:firstLine="1953"/>
        <w:spacing w:after="0" w:line="257" w:lineRule="auto"/>
        <w:tabs>
          <w:tab w:leader="none" w:pos="266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two-year period, as a result of which fewer than a majority of the directors are Incumbent Directors. “Incumbent Directors” means directors who either (A) are Directors as of the effective date of the Plan,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 or</w:t>
      </w:r>
    </w:p>
    <w:p>
      <w:pPr>
        <w:spacing w:after="0" w:line="188" w:lineRule="exact"/>
        <w:rPr>
          <w:rFonts w:ascii="Arial" w:cs="Arial" w:eastAsia="Arial" w:hAnsi="Arial"/>
          <w:sz w:val="18"/>
          <w:szCs w:val="18"/>
          <w:color w:val="auto"/>
        </w:rPr>
      </w:pPr>
    </w:p>
    <w:p>
      <w:pPr>
        <w:ind w:right="120" w:firstLine="1953"/>
        <w:spacing w:after="0" w:line="302" w:lineRule="auto"/>
        <w:tabs>
          <w:tab w:leader="none" w:pos="2655"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54" w:lineRule="exact"/>
        <w:rPr>
          <w:rFonts w:ascii="Arial" w:cs="Arial" w:eastAsia="Arial" w:hAnsi="Arial"/>
          <w:sz w:val="16"/>
          <w:szCs w:val="16"/>
          <w:color w:val="auto"/>
        </w:rPr>
      </w:pPr>
    </w:p>
    <w:p>
      <w:pPr>
        <w:ind w:right="80" w:firstLine="1305"/>
        <w:spacing w:after="0" w:line="277" w:lineRule="auto"/>
        <w:tabs>
          <w:tab w:leader="none" w:pos="20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Any reference to a section of the Code herein will be a reference to any successor or amended section of the Code.</w:t>
      </w:r>
    </w:p>
    <w:p>
      <w:pPr>
        <w:spacing w:after="0" w:line="170" w:lineRule="exact"/>
        <w:rPr>
          <w:rFonts w:ascii="Arial" w:cs="Arial" w:eastAsia="Arial" w:hAnsi="Arial"/>
          <w:sz w:val="18"/>
          <w:szCs w:val="18"/>
          <w:color w:val="auto"/>
        </w:rPr>
      </w:pPr>
    </w:p>
    <w:p>
      <w:pPr>
        <w:ind w:right="520" w:firstLine="1305"/>
        <w:spacing w:after="0" w:line="277" w:lineRule="auto"/>
        <w:tabs>
          <w:tab w:leader="none" w:pos="20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in accordance with Section 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-2465705</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3" w:right="239" w:bottom="0" w:gutter="0" w:footer="0" w:header="0"/>
        </w:sectPr>
      </w:pPr>
    </w:p>
    <w:bookmarkStart w:id="64" w:name="page65"/>
    <w:bookmarkEnd w:id="64"/>
    <w:p>
      <w:pPr>
        <w:spacing w:after="0" w:line="50" w:lineRule="exact"/>
        <w:rPr>
          <w:sz w:val="20"/>
          <w:szCs w:val="20"/>
          <w:color w:val="auto"/>
        </w:rPr>
      </w:pPr>
    </w:p>
    <w:p>
      <w:pPr>
        <w:ind w:left="2020" w:hanging="715"/>
        <w:spacing w:after="0"/>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Align Technology, Inc., a Delaware corporation, or any successor thereto.</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its Affiliate to render services to such entity.</w:t>
      </w:r>
    </w:p>
    <w:p>
      <w:pPr>
        <w:spacing w:after="0" w:line="248" w:lineRule="exact"/>
        <w:rPr>
          <w:rFonts w:ascii="Arial" w:cs="Arial" w:eastAsia="Arial" w:hAnsi="Arial"/>
          <w:sz w:val="16"/>
          <w:szCs w:val="16"/>
          <w:color w:val="auto"/>
        </w:rPr>
      </w:pPr>
    </w:p>
    <w:p>
      <w:pPr>
        <w:ind w:right="120" w:firstLine="1305"/>
        <w:spacing w:after="0" w:line="277" w:lineRule="auto"/>
        <w:tabs>
          <w:tab w:leader="none" w:pos="20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latest possible date that will not jeopardize the qualification of an Award granted under the Plan as “performance-based compensation” under Section 162(m) of the Code.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right="140" w:firstLine="1305"/>
        <w:spacing w:after="0" w:line="264" w:lineRule="auto"/>
        <w:tabs>
          <w:tab w:leader="none" w:pos="20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1" w:lineRule="exact"/>
        <w:rPr>
          <w:rFonts w:ascii="Arial" w:cs="Arial" w:eastAsia="Arial" w:hAnsi="Arial"/>
          <w:sz w:val="18"/>
          <w:szCs w:val="18"/>
          <w:color w:val="auto"/>
        </w:rPr>
      </w:pPr>
    </w:p>
    <w:p>
      <w:pPr>
        <w:ind w:right="60" w:firstLine="1305"/>
        <w:spacing w:after="0" w:line="277" w:lineRule="auto"/>
        <w:tabs>
          <w:tab w:leader="none" w:pos="20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its Affiliates. Neither service as a Director nor payment of a director’s fee by the Company will be sufficient to constitute “employment” by the Company.</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340" w:firstLine="1305"/>
        <w:spacing w:after="0" w:line="279" w:lineRule="auto"/>
        <w:tabs>
          <w:tab w:leader="none" w:pos="2016"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Common Stock as the Administrator may determine in good faith by reference to the price of such stock on any established stock exchange or a national market system on the day of determination if the Common Stock is so listed on any established stock exchange or a national market system. If the Common Stock is not listed on any established stock exchange or a national market system, the value of the Common Stock as the Administrator may determine in good faith.</w:t>
      </w:r>
    </w:p>
    <w:p>
      <w:pPr>
        <w:spacing w:after="0" w:line="171" w:lineRule="exact"/>
        <w:rPr>
          <w:rFonts w:ascii="Arial" w:cs="Arial" w:eastAsia="Arial" w:hAnsi="Arial"/>
          <w:sz w:val="17"/>
          <w:szCs w:val="17"/>
          <w:color w:val="auto"/>
        </w:rPr>
      </w:pPr>
    </w:p>
    <w:p>
      <w:pPr>
        <w:ind w:left="1980" w:hanging="675"/>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right="280" w:firstLine="1305"/>
        <w:spacing w:after="0" w:line="277" w:lineRule="auto"/>
        <w:tabs>
          <w:tab w:leader="none" w:pos="20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 Director</w:t>
      </w:r>
      <w:r>
        <w:rPr>
          <w:rFonts w:ascii="Arial" w:cs="Arial" w:eastAsia="Arial" w:hAnsi="Arial"/>
          <w:sz w:val="18"/>
          <w:szCs w:val="18"/>
          <w:color w:val="auto"/>
        </w:rPr>
        <w:t>” means a Director who is an Employee.</w:t>
      </w:r>
    </w:p>
    <w:p>
      <w:pPr>
        <w:spacing w:after="0" w:line="225" w:lineRule="exact"/>
        <w:rPr>
          <w:rFonts w:ascii="Arial" w:cs="Arial" w:eastAsia="Arial" w:hAnsi="Arial"/>
          <w:sz w:val="18"/>
          <w:szCs w:val="18"/>
          <w:color w:val="auto"/>
        </w:rPr>
      </w:pPr>
    </w:p>
    <w:p>
      <w:pPr>
        <w:ind w:right="80" w:firstLine="1305"/>
        <w:spacing w:after="0" w:line="276" w:lineRule="auto"/>
        <w:tabs>
          <w:tab w:leader="none" w:pos="20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Misconduct</w:t>
      </w:r>
      <w:r>
        <w:rPr>
          <w:rFonts w:ascii="Arial" w:cs="Arial" w:eastAsia="Arial" w:hAnsi="Arial"/>
          <w:sz w:val="17"/>
          <w:szCs w:val="17"/>
          <w:color w:val="auto"/>
        </w:rPr>
        <w:t>” means the commission of any act of fraud, embezzlement or dishonesty by the Participant, any unauthorized use or disclosure by such person of confidential information or trade secrets of the Company or its Affiliates, or any other intentional misconduct by such person adversely affecting the business or affairs of the Company or its Affiliates in a material manner. The foregoing definition will not in any way preclude or restrict the right of the Company or its Affiliates to discharge or dismiss any Participant for any other acts or omissions, but such other acts or omissions will not be deemed, for purposes of the Plan, to constitute grounds for termination for Misconduct.</w:t>
      </w:r>
    </w:p>
    <w:p>
      <w:pPr>
        <w:spacing w:after="0" w:line="172" w:lineRule="exact"/>
        <w:rPr>
          <w:rFonts w:ascii="Arial" w:cs="Arial" w:eastAsia="Arial" w:hAnsi="Arial"/>
          <w:sz w:val="17"/>
          <w:szCs w:val="17"/>
          <w:color w:val="auto"/>
        </w:rPr>
      </w:pPr>
    </w:p>
    <w:p>
      <w:pPr>
        <w:ind w:left="2000" w:hanging="695"/>
        <w:spacing w:after="0"/>
        <w:tabs>
          <w:tab w:leader="none" w:pos="2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color w:val="auto"/>
        </w:rPr>
      </w:pPr>
    </w:p>
    <w:p>
      <w:pPr>
        <w:ind w:right="160" w:firstLine="1305"/>
        <w:spacing w:after="0" w:line="277" w:lineRule="auto"/>
        <w:tabs>
          <w:tab w:leader="none" w:pos="20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-2979420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1980" w:hanging="675"/>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any Fiscal Year of the Company or such other period as determined by the Administrator in its sole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211" w:lineRule="exact"/>
        <w:rPr>
          <w:sz w:val="20"/>
          <w:szCs w:val="20"/>
          <w:color w:val="auto"/>
        </w:rPr>
      </w:pPr>
    </w:p>
    <w:p>
      <w:pPr>
        <w:ind w:right="600" w:firstLine="1305"/>
        <w:spacing w:after="0" w:line="308" w:lineRule="auto"/>
        <w:tabs>
          <w:tab w:leader="none" w:pos="2001"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Share</w:t>
      </w:r>
      <w:r>
        <w:rPr>
          <w:rFonts w:ascii="Arial" w:cs="Arial" w:eastAsia="Arial" w:hAnsi="Arial"/>
          <w:sz w:val="17"/>
          <w:szCs w:val="17"/>
          <w:color w:val="auto"/>
        </w:rPr>
        <w:t>” means an Award denominated in Shares which may be earned in whole or in part upon attainment of “Performance Goals” (as defined in Section 11) or other vesting criteria as the Administrator may determine pursuant to Section 9.</w:t>
      </w:r>
    </w:p>
    <w:p>
      <w:pPr>
        <w:spacing w:after="0" w:line="146" w:lineRule="exact"/>
        <w:rPr>
          <w:rFonts w:ascii="Arial" w:cs="Arial" w:eastAsia="Arial" w:hAnsi="Arial"/>
          <w:sz w:val="17"/>
          <w:szCs w:val="17"/>
          <w:color w:val="auto"/>
        </w:rPr>
      </w:pPr>
    </w:p>
    <w:p>
      <w:pPr>
        <w:ind w:right="180" w:firstLine="1305"/>
        <w:spacing w:after="0" w:line="264" w:lineRule="auto"/>
        <w:tabs>
          <w:tab w:leader="none" w:pos="19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9.</w:t>
      </w:r>
    </w:p>
    <w:p>
      <w:pPr>
        <w:spacing w:after="0" w:line="181" w:lineRule="exact"/>
        <w:rPr>
          <w:rFonts w:ascii="Arial" w:cs="Arial" w:eastAsia="Arial" w:hAnsi="Arial"/>
          <w:sz w:val="18"/>
          <w:szCs w:val="18"/>
          <w:color w:val="auto"/>
        </w:rPr>
      </w:pPr>
    </w:p>
    <w:p>
      <w:pPr>
        <w:ind w:right="160" w:firstLine="1305"/>
        <w:spacing w:after="0" w:line="264" w:lineRule="auto"/>
        <w:tabs>
          <w:tab w:leader="none" w:pos="20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2005 Incentive Plan.</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issued pursuant to a Restricted Stock award under Section 7 of the Plan, or issued pursuant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early exercise of an Option.</w:t>
      </w:r>
    </w:p>
    <w:p>
      <w:pPr>
        <w:spacing w:after="0" w:line="210" w:lineRule="exact"/>
        <w:rPr>
          <w:rFonts w:ascii="Arial" w:cs="Arial" w:eastAsia="Arial" w:hAnsi="Arial"/>
          <w:sz w:val="16"/>
          <w:szCs w:val="16"/>
          <w:color w:val="auto"/>
        </w:rPr>
      </w:pPr>
    </w:p>
    <w:p>
      <w:pPr>
        <w:ind w:right="620" w:firstLine="1305"/>
        <w:spacing w:after="0" w:line="277" w:lineRule="auto"/>
        <w:tabs>
          <w:tab w:leader="none" w:pos="20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ectPr>
          <w:pgSz w:w="11900" w:h="16888" w:orient="portrait"/>
          <w:cols w:equalWidth="0" w:num="1">
            <w:col w:w="11420"/>
          </w:cols>
          <w:pgMar w:left="240" w:top="125" w:right="239" w:bottom="0" w:gutter="0" w:footer="0" w:header="0"/>
        </w:sectPr>
      </w:pPr>
    </w:p>
    <w:bookmarkStart w:id="65" w:name="page66"/>
    <w:bookmarkEnd w:id="65"/>
    <w:p>
      <w:pPr>
        <w:ind w:left="2020" w:hanging="715"/>
        <w:spacing w:after="0"/>
        <w:tabs>
          <w:tab w:leader="none" w:pos="2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left="2000" w:hanging="695"/>
        <w:spacing w:after="0"/>
        <w:tabs>
          <w:tab w:leader="none" w:pos="2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16 of the Plan.</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or “</w:t>
      </w:r>
      <w:r>
        <w:rPr>
          <w:rFonts w:ascii="Arial" w:cs="Arial" w:eastAsia="Arial" w:hAnsi="Arial"/>
          <w:sz w:val="16"/>
          <w:szCs w:val="16"/>
          <w:u w:val="single" w:color="auto"/>
          <w:color w:val="auto"/>
        </w:rPr>
        <w:t>SAR</w:t>
      </w:r>
      <w:r>
        <w:rPr>
          <w:rFonts w:ascii="Arial" w:cs="Arial" w:eastAsia="Arial" w:hAnsi="Arial"/>
          <w:sz w:val="16"/>
          <w:szCs w:val="16"/>
          <w:color w:val="auto"/>
        </w:rPr>
        <w:t>” means an Award, granted alone or in connection with an Option, that pursuant to Section 8</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designated as a SAR.</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36" w:lineRule="exact"/>
        <w:rPr>
          <w:rFonts w:ascii="Arial" w:cs="Arial" w:eastAsia="Arial" w:hAnsi="Arial"/>
          <w:sz w:val="17"/>
          <w:szCs w:val="17"/>
          <w:color w:val="auto"/>
        </w:rPr>
      </w:pPr>
    </w:p>
    <w:p>
      <w:pPr>
        <w:ind w:left="1380" w:hanging="724"/>
        <w:spacing w:after="0"/>
        <w:tabs>
          <w:tab w:leader="none" w:pos="13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7" w:lineRule="auto"/>
        <w:tabs>
          <w:tab w:leader="none" w:pos="1991"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16 of the Plan, the maximum aggregate number of Shares that may be awarded and sold under the Plan is 9,983,379 Shares (the number of Shares which have been reserved but not issued under the Company’s 2001 Stock Incentive Plan (the “2001 Plan”) as of March 28, 2005), plus up to an aggregate of 5,000,000 Shares that are or would have been returned to the 2001 Plan as a result of termination of options or repurchase of Shares on or after March 28, 2005. The Shares may be authorized, but unissued, or reacquired Common Stock.</w:t>
      </w:r>
    </w:p>
    <w:p>
      <w:pPr>
        <w:spacing w:after="0" w:line="188" w:lineRule="exact"/>
        <w:rPr>
          <w:rFonts w:ascii="Arial" w:cs="Arial" w:eastAsia="Arial" w:hAnsi="Arial"/>
          <w:sz w:val="18"/>
          <w:szCs w:val="18"/>
          <w:color w:val="auto"/>
        </w:rPr>
      </w:pPr>
    </w:p>
    <w:p>
      <w:pPr>
        <w:ind w:right="60" w:firstLine="1305"/>
        <w:spacing w:after="0" w:line="276" w:lineRule="auto"/>
        <w:tabs>
          <w:tab w:leader="none" w:pos="2001"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Full Value Awards</w:t>
      </w:r>
      <w:r>
        <w:rPr>
          <w:rFonts w:ascii="Arial" w:cs="Arial" w:eastAsia="Arial" w:hAnsi="Arial"/>
          <w:sz w:val="17"/>
          <w:szCs w:val="17"/>
          <w:color w:val="auto"/>
        </w:rPr>
        <w:t>. Any Shares subject to Options or SARs will be counted against the numerical limits of this Section 3 as one Share for every Share subject thereto. Any Shares subject to Restricted Stock or Performance Shares with a per share or unit purchase price lower than 100% of Fair Market Value on the date of grant will be counted against the numerical limits of this Section 3 as two Shares for every one Share subject thereto. To the extent that a Share that was subject to an Award that counted as two Shares against the Plan reserve pursuant to the preceding sentence is recycled back into the Plan under the next paragraph of this Section 3, the Plan will be credited with two Shares.</w:t>
      </w:r>
    </w:p>
    <w:p>
      <w:pPr>
        <w:spacing w:after="0" w:line="172" w:lineRule="exact"/>
        <w:rPr>
          <w:rFonts w:ascii="Arial" w:cs="Arial" w:eastAsia="Arial" w:hAnsi="Arial"/>
          <w:sz w:val="17"/>
          <w:szCs w:val="17"/>
          <w:color w:val="auto"/>
        </w:rPr>
      </w:pPr>
    </w:p>
    <w:p>
      <w:pPr>
        <w:ind w:right="40" w:firstLine="1305"/>
        <w:spacing w:after="0" w:line="287" w:lineRule="auto"/>
        <w:tabs>
          <w:tab w:leader="none" w:pos="1991"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expires or becomes unexercisable without having been exercised in full, or, with respect to Restricted Stock, Performance Shares or Performance Units, is forfeited to or repurchased by the Company, the unpurchased Shares (or for Awards other than Options and SARs, the forfeited or repurchased shares) which were subject thereto will become available for future grant or sale under the Plan (unless the Plan has terminated). With respect to SARs, Shares actually issued pursuant to a SAR as well as the Shares that represent payment of the exercise price will cease to be available under the Plan. Shares that have actually been issued under the Plan under any Award will not be returned to the Plan and will not become available for future distribution under the Plan; provided, however, that if Shares of Restricted Stock, Performance Shares or Performance Units are repurchased by the Company or are forfeited to the Company, such Shares will become available for future grant under the Plan. Shares used to pay the exercise price of an Option will not become available for future grant or sale under the Plan. Shares used to satisfy tax withholding obligations will not become available for future grant or sale under the Plan. To the extent an Award under the Plan is paid out in cash rather than Shares, such cash payment will not reduce the number of Shares available for issuance under the Plan. Notwithstanding the foregoing and, subject to adjustment provided in Section 16, the maximum number of Shares that may be issued upon the exercise of Incentive Stock Options will equal the aggregate Share number stated in Section 3(a), plus, to the extent allowable under Section 422 of the Code, any Shares that become available for issuance under the Plan under this Section 3(c).</w:t>
      </w:r>
    </w:p>
    <w:p>
      <w:pPr>
        <w:spacing w:after="0" w:line="168" w:lineRule="exact"/>
        <w:rPr>
          <w:rFonts w:ascii="Arial" w:cs="Arial" w:eastAsia="Arial" w:hAnsi="Arial"/>
          <w:sz w:val="16"/>
          <w:szCs w:val="16"/>
          <w:color w:val="auto"/>
        </w:rPr>
      </w:pPr>
    </w:p>
    <w:p>
      <w:pPr>
        <w:ind w:right="120" w:firstLine="1305"/>
        <w:spacing w:after="0" w:line="277" w:lineRule="auto"/>
        <w:tabs>
          <w:tab w:leader="none" w:pos="2001"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1380" w:hanging="724"/>
        <w:spacing w:after="0"/>
        <w:tabs>
          <w:tab w:leader="none" w:pos="13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xml:space="preserve"> of the Plan.</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343"/>
        <w:spacing w:after="0"/>
        <w:tabs>
          <w:tab w:leader="none" w:pos="2620"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Multiple Administrative Bodies</w:t>
      </w:r>
      <w:r>
        <w:rPr>
          <w:rFonts w:ascii="Arial" w:cs="Arial" w:eastAsia="Arial" w:hAnsi="Arial"/>
          <w:sz w:val="18"/>
          <w:szCs w:val="18"/>
          <w:color w:val="auto"/>
        </w:rPr>
        <w:t>. Different Committees with respect to different groups of Service Providers may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administer the Plan.</w:t>
      </w:r>
    </w:p>
    <w:p>
      <w:pPr>
        <w:spacing w:after="0" w:line="210" w:lineRule="exact"/>
        <w:rPr>
          <w:rFonts w:ascii="Arial" w:cs="Arial" w:eastAsia="Arial" w:hAnsi="Arial"/>
          <w:sz w:val="18"/>
          <w:szCs w:val="18"/>
          <w:color w:val="auto"/>
        </w:rPr>
      </w:pPr>
    </w:p>
    <w:p>
      <w:pPr>
        <w:jc w:val="both"/>
        <w:ind w:firstLine="2277"/>
        <w:spacing w:after="0" w:line="264" w:lineRule="auto"/>
        <w:tabs>
          <w:tab w:leader="none" w:pos="2624"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 To the extent that the Administrator determines it to be desirable to qualify Awards granted hereunder as “performance-based compensation” within the meaning of Section 162(m) of the Code, the Plan will be administered by a Committee of two or more “outside directors” within the meaning of Section 162(m) of the Code.</w:t>
      </w:r>
    </w:p>
    <w:p>
      <w:pPr>
        <w:spacing w:after="0" w:line="181" w:lineRule="exact"/>
        <w:rPr>
          <w:rFonts w:ascii="Arial" w:cs="Arial" w:eastAsia="Arial" w:hAnsi="Arial"/>
          <w:sz w:val="18"/>
          <w:szCs w:val="18"/>
          <w:color w:val="auto"/>
        </w:rPr>
      </w:pPr>
    </w:p>
    <w:p>
      <w:pPr>
        <w:ind w:right="500" w:firstLine="2277"/>
        <w:spacing w:after="0" w:line="277" w:lineRule="auto"/>
        <w:tabs>
          <w:tab w:leader="none" w:pos="2633"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70" w:lineRule="exact"/>
        <w:rPr>
          <w:rFonts w:ascii="Arial" w:cs="Arial" w:eastAsia="Arial" w:hAnsi="Arial"/>
          <w:sz w:val="18"/>
          <w:szCs w:val="18"/>
          <w:color w:val="auto"/>
        </w:rPr>
      </w:pPr>
    </w:p>
    <w:p>
      <w:pPr>
        <w:ind w:right="40" w:firstLine="2277"/>
        <w:spacing w:after="0" w:line="277" w:lineRule="auto"/>
        <w:tabs>
          <w:tab w:leader="none" w:pos="2610"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170" w:lineRule="exact"/>
        <w:rPr>
          <w:rFonts w:ascii="Arial" w:cs="Arial" w:eastAsia="Arial" w:hAnsi="Arial"/>
          <w:sz w:val="18"/>
          <w:szCs w:val="18"/>
          <w:color w:val="auto"/>
        </w:rPr>
      </w:pPr>
    </w:p>
    <w:p>
      <w:pPr>
        <w:ind w:right="180" w:firstLine="1305"/>
        <w:spacing w:after="0" w:line="277" w:lineRule="auto"/>
        <w:tabs>
          <w:tab w:leader="none" w:pos="2001"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70" w:lineRule="exact"/>
        <w:rPr>
          <w:rFonts w:ascii="Arial" w:cs="Arial" w:eastAsia="Arial" w:hAnsi="Arial"/>
          <w:sz w:val="18"/>
          <w:szCs w:val="18"/>
          <w:color w:val="auto"/>
        </w:rPr>
      </w:pPr>
    </w:p>
    <w:p>
      <w:pPr>
        <w:ind w:left="2620" w:hanging="343"/>
        <w:spacing w:after="0"/>
        <w:tabs>
          <w:tab w:leader="none" w:pos="26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2"/>
          <w:numId w:val="54"/>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w:t>
      </w:r>
    </w:p>
    <w:p>
      <w:pPr>
        <w:spacing w:after="0" w:line="236" w:lineRule="exact"/>
        <w:rPr>
          <w:rFonts w:ascii="Arial" w:cs="Arial" w:eastAsia="Arial" w:hAnsi="Arial"/>
          <w:sz w:val="17"/>
          <w:szCs w:val="17"/>
          <w:color w:val="auto"/>
        </w:rPr>
      </w:pPr>
    </w:p>
    <w:p>
      <w:pPr>
        <w:ind w:left="2620" w:hanging="343"/>
        <w:spacing w:after="0"/>
        <w:tabs>
          <w:tab w:leader="none" w:pos="26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-9763125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-3940175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66" w:name="page67"/>
    <w:bookmarkEnd w:id="66"/>
    <w:p>
      <w:pPr>
        <w:ind w:right="120" w:firstLine="2277"/>
        <w:spacing w:after="0" w:line="277" w:lineRule="auto"/>
        <w:tabs>
          <w:tab w:leader="none" w:pos="2614" w:val="left"/>
        </w:tabs>
        <w:numPr>
          <w:ilvl w:val="2"/>
          <w:numId w:val="55"/>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w:t>
      </w:r>
    </w:p>
    <w:p>
      <w:pPr>
        <w:spacing w:after="0" w:line="170" w:lineRule="exact"/>
        <w:rPr>
          <w:rFonts w:ascii="Arial" w:cs="Arial" w:eastAsia="Arial" w:hAnsi="Arial"/>
          <w:sz w:val="18"/>
          <w:szCs w:val="18"/>
          <w:color w:val="auto"/>
        </w:rPr>
      </w:pPr>
    </w:p>
    <w:p>
      <w:pPr>
        <w:ind w:firstLine="2277"/>
        <w:spacing w:after="0" w:line="276" w:lineRule="auto"/>
        <w:tabs>
          <w:tab w:leader="none" w:pos="2610" w:val="left"/>
        </w:tabs>
        <w:numPr>
          <w:ilvl w:val="2"/>
          <w:numId w:val="55"/>
        </w:numPr>
        <w:rPr>
          <w:rFonts w:ascii="Arial" w:cs="Arial" w:eastAsia="Arial" w:hAnsi="Arial"/>
          <w:sz w:val="17"/>
          <w:szCs w:val="17"/>
          <w:color w:val="auto"/>
        </w:rPr>
      </w:pPr>
      <w:r>
        <w:rPr>
          <w:rFonts w:ascii="Arial" w:cs="Arial" w:eastAsia="Arial" w:hAnsi="Arial"/>
          <w:sz w:val="17"/>
          <w:szCs w:val="17"/>
          <w:color w:val="auto"/>
        </w:rPr>
        <w:t>to modify or amend each Award (subject to Section 21(c) of the Plan) including, without limitation, the discretionary authority to extend the post-termination exercisability period of Awards longer than is otherwise provided for in the Plan. Notwithstanding the previous sentence, the Administrator may not modify or amend an Option or SAR to reduce the exercise price of such Option or SAR after it has been granted (except for adjustments made pursuant to Section 16) nor may the Administrator cancel any outstanding Option or SAR and replace it with a new Option or SAR with a lower exercise price, unless, in either case, such action is approved by the Company’s stockholders;</w:t>
      </w:r>
    </w:p>
    <w:p>
      <w:pPr>
        <w:spacing w:after="0" w:line="172" w:lineRule="exact"/>
        <w:rPr>
          <w:rFonts w:ascii="Arial" w:cs="Arial" w:eastAsia="Arial" w:hAnsi="Arial"/>
          <w:sz w:val="17"/>
          <w:szCs w:val="17"/>
          <w:color w:val="auto"/>
        </w:rPr>
      </w:pPr>
    </w:p>
    <w:p>
      <w:pPr>
        <w:ind w:right="340" w:firstLine="2277"/>
        <w:spacing w:after="0" w:line="277" w:lineRule="auto"/>
        <w:tabs>
          <w:tab w:leader="none" w:pos="2669" w:val="left"/>
        </w:tabs>
        <w:numPr>
          <w:ilvl w:val="2"/>
          <w:numId w:val="55"/>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right="40" w:firstLine="2277"/>
        <w:spacing w:after="0" w:line="277" w:lineRule="auto"/>
        <w:tabs>
          <w:tab w:leader="none" w:pos="2674" w:val="left"/>
        </w:tabs>
        <w:numPr>
          <w:ilvl w:val="2"/>
          <w:numId w:val="55"/>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pursuant to such procedures as the Administrator may determine;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jc w:val="both"/>
        <w:ind w:right="40" w:firstLine="2277"/>
        <w:spacing w:after="0" w:line="264" w:lineRule="auto"/>
        <w:tabs>
          <w:tab w:leader="none" w:pos="2664" w:val="left"/>
        </w:tabs>
        <w:numPr>
          <w:ilvl w:val="2"/>
          <w:numId w:val="55"/>
        </w:numPr>
        <w:rPr>
          <w:rFonts w:ascii="Arial" w:cs="Arial" w:eastAsia="Arial" w:hAnsi="Arial"/>
          <w:sz w:val="18"/>
          <w:szCs w:val="18"/>
          <w:color w:val="auto"/>
        </w:rPr>
      </w:pPr>
      <w:r>
        <w:rPr>
          <w:rFonts w:ascii="Arial" w:cs="Arial" w:eastAsia="Arial" w:hAnsi="Arial"/>
          <w:sz w:val="18"/>
          <w:szCs w:val="18"/>
          <w:color w:val="auto"/>
        </w:rPr>
        <w:t>to grant in addition to the incentives described in Sections 6, 7, 8 and 9 below, other incentives payable in cash or Shares under the Plan as determined by the Administrator to be in the best interests of the Company and subject to any terms and conditions the Administrator deems advisable; and</w:t>
      </w:r>
    </w:p>
    <w:p>
      <w:pPr>
        <w:spacing w:after="0" w:line="181" w:lineRule="exact"/>
        <w:rPr>
          <w:rFonts w:ascii="Arial" w:cs="Arial" w:eastAsia="Arial" w:hAnsi="Arial"/>
          <w:sz w:val="18"/>
          <w:szCs w:val="18"/>
          <w:color w:val="auto"/>
        </w:rPr>
      </w:pPr>
    </w:p>
    <w:p>
      <w:pPr>
        <w:ind w:left="2660" w:hanging="383"/>
        <w:spacing w:after="0"/>
        <w:tabs>
          <w:tab w:leader="none" w:pos="26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rFonts w:ascii="Arial" w:cs="Arial" w:eastAsia="Arial" w:hAnsi="Arial"/>
          <w:sz w:val="18"/>
          <w:szCs w:val="18"/>
          <w:color w:val="auto"/>
        </w:rPr>
      </w:pPr>
    </w:p>
    <w:p>
      <w:pPr>
        <w:ind w:right="20" w:firstLine="1305"/>
        <w:spacing w:after="0" w:line="277" w:lineRule="auto"/>
        <w:tabs>
          <w:tab w:leader="none" w:pos="1991"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70" w:lineRule="exact"/>
        <w:rPr>
          <w:rFonts w:ascii="Arial" w:cs="Arial" w:eastAsia="Arial" w:hAnsi="Arial"/>
          <w:sz w:val="18"/>
          <w:szCs w:val="18"/>
          <w:color w:val="auto"/>
        </w:rPr>
      </w:pPr>
    </w:p>
    <w:p>
      <w:pPr>
        <w:ind w:right="60" w:firstLine="656"/>
        <w:spacing w:after="0" w:line="264" w:lineRule="auto"/>
        <w:tabs>
          <w:tab w:leader="none" w:pos="136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Restricted Stock, Stock Appreciation Rights, Performance Units, Performance Shares and such other cash or stock awards as the Administrator determines may be granted to Service Providers. Incentive Stock Options may be granted only to Employees of the Company or any Parent or Subsidiary of the Company.</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2277"/>
        <w:spacing w:after="0" w:line="255" w:lineRule="auto"/>
        <w:tabs>
          <w:tab w:leader="none" w:pos="2619" w:val="left"/>
        </w:tabs>
        <w:numPr>
          <w:ilvl w:val="2"/>
          <w:numId w:val="57"/>
        </w:numPr>
        <w:rPr>
          <w:rFonts w:ascii="Arial" w:cs="Arial" w:eastAsia="Arial" w:hAnsi="Arial"/>
          <w:sz w:val="18"/>
          <w:szCs w:val="18"/>
          <w:color w:val="auto"/>
        </w:rPr>
      </w:pPr>
      <w:r>
        <w:rPr>
          <w:rFonts w:ascii="Arial" w:cs="Arial" w:eastAsia="Arial" w:hAnsi="Arial"/>
          <w:sz w:val="18"/>
          <w:szCs w:val="18"/>
          <w:color w:val="auto"/>
        </w:rPr>
        <w:t>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93" w:lineRule="exact"/>
        <w:rPr>
          <w:rFonts w:ascii="Arial" w:cs="Arial" w:eastAsia="Arial" w:hAnsi="Arial"/>
          <w:sz w:val="18"/>
          <w:szCs w:val="18"/>
          <w:color w:val="auto"/>
        </w:rPr>
      </w:pPr>
    </w:p>
    <w:p>
      <w:pPr>
        <w:ind w:left="2640" w:hanging="363"/>
        <w:spacing w:after="0"/>
        <w:tabs>
          <w:tab w:leader="none" w:pos="264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following limitations will apply to grants of Options:</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3"/>
          <w:numId w:val="57"/>
        </w:numPr>
        <w:rPr>
          <w:rFonts w:ascii="Arial" w:cs="Arial" w:eastAsia="Arial" w:hAnsi="Arial"/>
          <w:sz w:val="17"/>
          <w:szCs w:val="17"/>
          <w:color w:val="auto"/>
        </w:rPr>
      </w:pPr>
      <w:r>
        <w:rPr>
          <w:rFonts w:ascii="Arial" w:cs="Arial" w:eastAsia="Arial" w:hAnsi="Arial"/>
          <w:sz w:val="17"/>
          <w:szCs w:val="17"/>
          <w:color w:val="auto"/>
        </w:rPr>
        <w:t>No Service Provider will be granted, in any Fiscal Year, Options or SARs to purchase more than 1,000,000</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Shares.</w:t>
      </w:r>
    </w:p>
    <w:p>
      <w:pPr>
        <w:spacing w:after="0" w:line="210" w:lineRule="exact"/>
        <w:rPr>
          <w:rFonts w:ascii="Arial" w:cs="Arial" w:eastAsia="Arial" w:hAnsi="Arial"/>
          <w:sz w:val="17"/>
          <w:szCs w:val="17"/>
          <w:color w:val="auto"/>
        </w:rPr>
      </w:pPr>
    </w:p>
    <w:p>
      <w:pPr>
        <w:ind w:left="3300" w:hanging="699"/>
        <w:spacing w:after="0"/>
        <w:tabs>
          <w:tab w:leader="none" w:pos="3300" w:val="left"/>
        </w:tabs>
        <w:numPr>
          <w:ilvl w:val="3"/>
          <w:numId w:val="57"/>
        </w:numPr>
        <w:rPr>
          <w:rFonts w:ascii="Arial" w:cs="Arial" w:eastAsia="Arial" w:hAnsi="Arial"/>
          <w:sz w:val="16"/>
          <w:szCs w:val="16"/>
          <w:color w:val="auto"/>
        </w:rPr>
      </w:pPr>
      <w:r>
        <w:rPr>
          <w:rFonts w:ascii="Arial" w:cs="Arial" w:eastAsia="Arial" w:hAnsi="Arial"/>
          <w:sz w:val="16"/>
          <w:szCs w:val="16"/>
          <w:color w:val="auto"/>
        </w:rPr>
        <w:t>In connection with his or her initial service, a Service Provider may be granted Options or SARs to purchase up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an additional 1,000,000 Shares, which will not count against the limit set forth in Section 6(a)(2)(ii)(1) above.</w:t>
      </w:r>
    </w:p>
    <w:p>
      <w:pPr>
        <w:spacing w:after="0" w:line="210" w:lineRule="exact"/>
        <w:rPr>
          <w:rFonts w:ascii="Arial" w:cs="Arial" w:eastAsia="Arial" w:hAnsi="Arial"/>
          <w:sz w:val="16"/>
          <w:szCs w:val="16"/>
          <w:color w:val="auto"/>
        </w:rPr>
      </w:pPr>
    </w:p>
    <w:p>
      <w:pPr>
        <w:ind w:left="3300" w:hanging="699"/>
        <w:spacing w:after="0"/>
        <w:tabs>
          <w:tab w:leader="none" w:pos="3300" w:val="left"/>
        </w:tabs>
        <w:numPr>
          <w:ilvl w:val="3"/>
          <w:numId w:val="57"/>
        </w:numPr>
        <w:rPr>
          <w:rFonts w:ascii="Arial" w:cs="Arial" w:eastAsia="Arial" w:hAnsi="Arial"/>
          <w:sz w:val="17"/>
          <w:szCs w:val="17"/>
          <w:color w:val="auto"/>
        </w:rPr>
      </w:pPr>
      <w:r>
        <w:rPr>
          <w:rFonts w:ascii="Arial" w:cs="Arial" w:eastAsia="Arial" w:hAnsi="Arial"/>
          <w:sz w:val="17"/>
          <w:szCs w:val="17"/>
          <w:color w:val="auto"/>
        </w:rPr>
        <w:t>The foregoing limitations will be adjusted proportionately in connection with any change in the Company’s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capitalization as described in Section 16.</w:t>
      </w:r>
    </w:p>
    <w:p>
      <w:pPr>
        <w:spacing w:after="0" w:line="210" w:lineRule="exact"/>
        <w:rPr>
          <w:rFonts w:ascii="Arial" w:cs="Arial" w:eastAsia="Arial" w:hAnsi="Arial"/>
          <w:sz w:val="17"/>
          <w:szCs w:val="17"/>
          <w:color w:val="auto"/>
        </w:rPr>
      </w:pPr>
    </w:p>
    <w:p>
      <w:pPr>
        <w:ind w:right="100" w:firstLine="2601"/>
        <w:spacing w:after="0" w:line="259" w:lineRule="auto"/>
        <w:tabs>
          <w:tab w:leader="none" w:pos="3298" w:val="left"/>
        </w:tabs>
        <w:numPr>
          <w:ilvl w:val="3"/>
          <w:numId w:val="57"/>
        </w:numPr>
        <w:rPr>
          <w:rFonts w:ascii="Arial" w:cs="Arial" w:eastAsia="Arial" w:hAnsi="Arial"/>
          <w:sz w:val="18"/>
          <w:szCs w:val="18"/>
          <w:color w:val="auto"/>
        </w:rPr>
      </w:pPr>
      <w:r>
        <w:rPr>
          <w:rFonts w:ascii="Arial" w:cs="Arial" w:eastAsia="Arial" w:hAnsi="Arial"/>
          <w:sz w:val="18"/>
          <w:szCs w:val="18"/>
          <w:color w:val="auto"/>
        </w:rPr>
        <w:t>If an Option or SAR is cancelled in the same Fiscal Year in which it was granted (other than in connection with a transaction described in Section 16), the cancelled Option or SAR, as applicable, will be counted against the limits set forth in subsections (1) and (2) above. For this purpose, if the exercise price of an Option or SAR is reduced, the transaction will be treated as a cancellation of the Option or SAR, as applicable, and the grant of a new Option or SAR, as applicable.</w:t>
      </w:r>
    </w:p>
    <w:p>
      <w:pPr>
        <w:spacing w:after="0" w:line="186" w:lineRule="exact"/>
        <w:rPr>
          <w:rFonts w:ascii="Arial" w:cs="Arial" w:eastAsia="Arial" w:hAnsi="Arial"/>
          <w:sz w:val="18"/>
          <w:szCs w:val="18"/>
          <w:color w:val="auto"/>
        </w:rPr>
      </w:pPr>
    </w:p>
    <w:p>
      <w:pPr>
        <w:ind w:firstLine="1305"/>
        <w:spacing w:after="0" w:line="276" w:lineRule="auto"/>
        <w:tabs>
          <w:tab w:leader="none" w:pos="2001"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The Administrator will determine the term of each Option in its sole discretion.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5" w:lineRule="exact"/>
        <w:rPr>
          <w:rFonts w:ascii="Arial" w:cs="Arial" w:eastAsia="Arial" w:hAnsi="Arial"/>
          <w:sz w:val="17"/>
          <w:szCs w:val="17"/>
          <w:color w:val="auto"/>
        </w:rPr>
      </w:pPr>
    </w:p>
    <w:p>
      <w:pPr>
        <w:ind w:left="2000" w:hanging="695"/>
        <w:spacing w:after="0"/>
        <w:tabs>
          <w:tab w:leader="none" w:pos="200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80" w:firstLine="2277"/>
        <w:spacing w:after="0" w:line="277" w:lineRule="auto"/>
        <w:tabs>
          <w:tab w:leader="none" w:pos="2619" w:val="left"/>
        </w:tabs>
        <w:numPr>
          <w:ilvl w:val="2"/>
          <w:numId w:val="5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170" w:lineRule="exact"/>
        <w:rPr>
          <w:rFonts w:ascii="Arial" w:cs="Arial" w:eastAsia="Arial" w:hAnsi="Arial"/>
          <w:sz w:val="18"/>
          <w:szCs w:val="18"/>
          <w:color w:val="auto"/>
        </w:rPr>
      </w:pPr>
    </w:p>
    <w:p>
      <w:pPr>
        <w:ind w:left="3300" w:hanging="699"/>
        <w:spacing w:after="0"/>
        <w:tabs>
          <w:tab w:leader="none" w:pos="3300" w:val="left"/>
        </w:tabs>
        <w:numPr>
          <w:ilvl w:val="3"/>
          <w:numId w:val="57"/>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-7842250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-1058545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94" w:gutter="0" w:footer="0" w:header="0"/>
        </w:sectPr>
      </w:pPr>
    </w:p>
    <w:bookmarkStart w:id="67" w:name="page68"/>
    <w:bookmarkEnd w:id="67"/>
    <w:p>
      <w:pPr>
        <w:ind w:left="3980" w:hanging="731"/>
        <w:spacing w:after="0"/>
        <w:tabs>
          <w:tab w:leader="none" w:pos="3980" w:val="left"/>
        </w:tabs>
        <w:numPr>
          <w:ilvl w:val="3"/>
          <w:numId w:val="58"/>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w:t>
      </w:r>
    </w:p>
    <w:p>
      <w:pPr>
        <w:spacing w:after="0" w:line="23" w:lineRule="exact"/>
        <w:rPr>
          <w:rFonts w:ascii="Arial" w:cs="Arial" w:eastAsia="Arial" w:hAnsi="Arial"/>
          <w:sz w:val="18"/>
          <w:szCs w:val="18"/>
          <w:color w:val="auto"/>
        </w:rPr>
      </w:pPr>
    </w:p>
    <w:p>
      <w:pPr>
        <w:ind w:right="40"/>
        <w:spacing w:after="0" w:line="261" w:lineRule="auto"/>
        <w:rPr>
          <w:rFonts w:ascii="Arial" w:cs="Arial" w:eastAsia="Arial" w:hAnsi="Arial"/>
          <w:sz w:val="18"/>
          <w:szCs w:val="18"/>
          <w:color w:val="auto"/>
        </w:rPr>
      </w:pPr>
      <w:r>
        <w:rPr>
          <w:rFonts w:ascii="Arial" w:cs="Arial" w:eastAsia="Arial" w:hAnsi="Arial"/>
          <w:sz w:val="18"/>
          <w:szCs w:val="18"/>
          <w:color w:val="auto"/>
        </w:rPr>
        <w:t>representing more than ten percent (10%) of the voting power of all classes of stock of the Company or any Parent or Subsidiary, the per Share exercise price will be no less than 110% of the Fair Market Value per Share on the date of grant.</w:t>
      </w:r>
    </w:p>
    <w:p>
      <w:pPr>
        <w:spacing w:after="0" w:line="183" w:lineRule="exact"/>
        <w:rPr>
          <w:rFonts w:ascii="Arial" w:cs="Arial" w:eastAsia="Arial" w:hAnsi="Arial"/>
          <w:sz w:val="18"/>
          <w:szCs w:val="18"/>
          <w:color w:val="auto"/>
        </w:rPr>
      </w:pPr>
    </w:p>
    <w:p>
      <w:pPr>
        <w:ind w:left="3940" w:hanging="691"/>
        <w:spacing w:after="0"/>
        <w:tabs>
          <w:tab w:leader="none" w:pos="3940" w:val="left"/>
        </w:tabs>
        <w:numPr>
          <w:ilvl w:val="3"/>
          <w:numId w:val="58"/>
        </w:numPr>
        <w:rPr>
          <w:rFonts w:ascii="Arial" w:cs="Arial" w:eastAsia="Arial" w:hAnsi="Arial"/>
          <w:sz w:val="16"/>
          <w:szCs w:val="16"/>
          <w:color w:val="auto"/>
        </w:rPr>
      </w:pPr>
      <w:r>
        <w:rPr>
          <w:rFonts w:ascii="Arial" w:cs="Arial" w:eastAsia="Arial" w:hAnsi="Arial"/>
          <w:sz w:val="16"/>
          <w:szCs w:val="16"/>
          <w:color w:val="auto"/>
        </w:rPr>
        <w:t>granted to any Employee other than an Employee described in paragraph (A) immediately above,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 Share exercise price will be no less than 100% of the Fair Market Value per Share on the date of grant.</w:t>
      </w:r>
    </w:p>
    <w:p>
      <w:pPr>
        <w:spacing w:after="0" w:line="210" w:lineRule="exact"/>
        <w:rPr>
          <w:rFonts w:ascii="Arial" w:cs="Arial" w:eastAsia="Arial" w:hAnsi="Arial"/>
          <w:sz w:val="16"/>
          <w:szCs w:val="16"/>
          <w:color w:val="auto"/>
        </w:rPr>
      </w:pPr>
    </w:p>
    <w:p>
      <w:pPr>
        <w:ind w:left="3300" w:hanging="699"/>
        <w:spacing w:after="0"/>
        <w:tabs>
          <w:tab w:leader="none" w:pos="33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In the case of a Nonstatutory Stock Option, the per Share exercise price will be determined by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Administrator, but will be no less than 100% of the Fair Market Value per Share on the date of grant.</w:t>
      </w:r>
    </w:p>
    <w:p>
      <w:pPr>
        <w:spacing w:after="0" w:line="210" w:lineRule="exact"/>
        <w:rPr>
          <w:rFonts w:ascii="Arial" w:cs="Arial" w:eastAsia="Arial" w:hAnsi="Arial"/>
          <w:sz w:val="18"/>
          <w:szCs w:val="18"/>
          <w:color w:val="auto"/>
        </w:rPr>
      </w:pPr>
    </w:p>
    <w:p>
      <w:pPr>
        <w:ind w:firstLine="2601"/>
        <w:spacing w:after="0" w:line="342" w:lineRule="auto"/>
        <w:tabs>
          <w:tab w:leader="none" w:pos="3298" w:val="left"/>
        </w:tabs>
        <w:numPr>
          <w:ilvl w:val="2"/>
          <w:numId w:val="59"/>
        </w:numPr>
        <w:rPr>
          <w:rFonts w:ascii="Arial" w:cs="Arial" w:eastAsia="Arial" w:hAnsi="Arial"/>
          <w:sz w:val="16"/>
          <w:szCs w:val="16"/>
          <w:color w:val="auto"/>
        </w:rPr>
      </w:pPr>
      <w:r>
        <w:rPr>
          <w:rFonts w:ascii="Arial" w:cs="Arial" w:eastAsia="Arial" w:hAnsi="Arial"/>
          <w:sz w:val="16"/>
          <w:szCs w:val="16"/>
          <w:color w:val="auto"/>
        </w:rPr>
        <w:t>Notwithstanding the foregoing, Options may be granted with a per Share exercise price of less than 100% of the Fair Market Value per Share on the date of grant pursuant to a transaction described in, and in a manner consistent with, Section 424(a) of the Code.</w:t>
      </w:r>
    </w:p>
    <w:p>
      <w:pPr>
        <w:spacing w:after="0" w:line="123" w:lineRule="exact"/>
        <w:rPr>
          <w:rFonts w:ascii="Arial" w:cs="Arial" w:eastAsia="Arial" w:hAnsi="Arial"/>
          <w:sz w:val="16"/>
          <w:szCs w:val="16"/>
          <w:color w:val="auto"/>
        </w:rPr>
      </w:pPr>
    </w:p>
    <w:p>
      <w:pPr>
        <w:ind w:right="100" w:firstLine="2277"/>
        <w:spacing w:after="0" w:line="277" w:lineRule="auto"/>
        <w:tabs>
          <w:tab w:leader="none" w:pos="2624"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70" w:lineRule="exact"/>
        <w:rPr>
          <w:rFonts w:ascii="Arial" w:cs="Arial" w:eastAsia="Arial" w:hAnsi="Arial"/>
          <w:sz w:val="18"/>
          <w:szCs w:val="18"/>
          <w:color w:val="auto"/>
        </w:rPr>
      </w:pPr>
    </w:p>
    <w:p>
      <w:pPr>
        <w:ind w:right="420" w:firstLine="2277"/>
        <w:spacing w:after="0" w:line="277" w:lineRule="auto"/>
        <w:tabs>
          <w:tab w:leader="none" w:pos="2629"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will determine the acceptable form(s) of consideration for exercising an Option, including the method of payment, to the extent permitted by Applicable Laws.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2277"/>
        <w:spacing w:after="0" w:line="264" w:lineRule="auto"/>
        <w:tabs>
          <w:tab w:leader="none" w:pos="2619"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1" w:lineRule="exact"/>
        <w:rPr>
          <w:sz w:val="20"/>
          <w:szCs w:val="20"/>
          <w:color w:val="auto"/>
        </w:rPr>
      </w:pPr>
    </w:p>
    <w:p>
      <w:pPr>
        <w:ind w:right="40" w:firstLine="1945"/>
        <w:spacing w:after="0" w:line="259" w:lineRule="auto"/>
        <w:rPr>
          <w:sz w:val="20"/>
          <w:szCs w:val="20"/>
          <w:color w:val="auto"/>
        </w:rPr>
      </w:pPr>
      <w:r>
        <w:rPr>
          <w:rFonts w:ascii="Arial" w:cs="Arial" w:eastAsia="Arial" w:hAnsi="Arial"/>
          <w:sz w:val="18"/>
          <w:szCs w:val="18"/>
          <w:color w:val="auto"/>
        </w:rPr>
        <w:t>An Option will be deemed exercised when the Company receives: (i) notice of exercise (in such form as the Administrator specify from time to time) from the person entitled to exercise the Option, and (ii) full payment for the Shares with respect to which the Option is exercised (together with an applicable withholding taxes). No adjustment will be made for a dividend or other right for which the record date is prior to the date the Shares are issued, except as provided in Section 16 of the Plan.</w:t>
      </w:r>
    </w:p>
    <w:p>
      <w:pPr>
        <w:spacing w:after="0" w:line="187" w:lineRule="exact"/>
        <w:rPr>
          <w:sz w:val="20"/>
          <w:szCs w:val="20"/>
          <w:color w:val="auto"/>
        </w:rPr>
      </w:pPr>
    </w:p>
    <w:p>
      <w:pPr>
        <w:ind w:right="20" w:firstLine="2277"/>
        <w:spacing w:after="0" w:line="271" w:lineRule="auto"/>
        <w:tabs>
          <w:tab w:leader="none" w:pos="2624"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as a Service Provider</w:t>
      </w:r>
      <w:r>
        <w:rPr>
          <w:rFonts w:ascii="Arial" w:cs="Arial" w:eastAsia="Arial" w:hAnsi="Arial"/>
          <w:sz w:val="17"/>
          <w:szCs w:val="17"/>
          <w:color w:val="auto"/>
        </w:rPr>
        <w:t>. If a Participant ceases to be a Service Provider, other than upon the Participant’s death, Disability or Misconduct,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 If after termination the Participant does not exercise his or her Option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time specified by the Administrator, the Option will terminate, and the Shares covered by such Option will revert to the Plan.</w:t>
      </w:r>
    </w:p>
    <w:p>
      <w:pPr>
        <w:spacing w:after="0" w:line="225" w:lineRule="exact"/>
        <w:rPr>
          <w:sz w:val="20"/>
          <w:szCs w:val="20"/>
          <w:color w:val="auto"/>
        </w:rPr>
      </w:pPr>
    </w:p>
    <w:p>
      <w:pPr>
        <w:ind w:right="80" w:firstLine="2277"/>
        <w:spacing w:after="0" w:line="272" w:lineRule="auto"/>
        <w:tabs>
          <w:tab w:leader="none" w:pos="2629" w:val="left"/>
        </w:tabs>
        <w:numPr>
          <w:ilvl w:val="2"/>
          <w:numId w:val="63"/>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77" w:lineRule="exact"/>
        <w:rPr>
          <w:rFonts w:ascii="Arial" w:cs="Arial" w:eastAsia="Arial" w:hAnsi="Arial"/>
          <w:sz w:val="17"/>
          <w:szCs w:val="17"/>
          <w:color w:val="auto"/>
        </w:rPr>
      </w:pPr>
    </w:p>
    <w:p>
      <w:pPr>
        <w:ind w:right="20" w:firstLine="2277"/>
        <w:spacing w:after="0" w:line="270" w:lineRule="auto"/>
        <w:tabs>
          <w:tab w:leader="none" w:pos="2619" w:val="left"/>
        </w:tabs>
        <w:numPr>
          <w:ilvl w:val="2"/>
          <w:numId w:val="63"/>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77" w:lineRule="exact"/>
        <w:rPr>
          <w:rFonts w:ascii="Arial" w:cs="Arial" w:eastAsia="Arial" w:hAnsi="Arial"/>
          <w:sz w:val="17"/>
          <w:szCs w:val="17"/>
          <w:color w:val="auto"/>
        </w:rPr>
      </w:pPr>
    </w:p>
    <w:p>
      <w:pPr>
        <w:ind w:left="1380" w:hanging="724"/>
        <w:spacing w:after="0"/>
        <w:tabs>
          <w:tab w:leader="none" w:pos="13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308" w:lineRule="auto"/>
        <w:tabs>
          <w:tab w:leader="none" w:pos="1991"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46" w:lineRule="exact"/>
        <w:rPr>
          <w:rFonts w:ascii="Arial" w:cs="Arial" w:eastAsia="Arial" w:hAnsi="Arial"/>
          <w:sz w:val="17"/>
          <w:szCs w:val="17"/>
          <w:color w:val="auto"/>
        </w:rPr>
      </w:pPr>
    </w:p>
    <w:p>
      <w:pPr>
        <w:ind w:firstLine="1305"/>
        <w:spacing w:after="0" w:line="255" w:lineRule="auto"/>
        <w:tabs>
          <w:tab w:leader="none" w:pos="2001"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Notwithstanding the foregoing, during any Fiscal Year no Participant will receive more than an aggregate of 500,000 Shares of Restricted Stock; provided, however, that in connection with a Participant’s initial service as an Employee, an Employee may be granted an aggregate of up to an additional 500,000 Shares of Restricted Stock. Unless the Administrator determines otherwise, Shares of Restricted Stock will be held by the Company as escrow agent until the restrictions on such Shares have lapsed.</w:t>
      </w:r>
    </w:p>
    <w:p>
      <w:pPr>
        <w:sectPr>
          <w:pgSz w:w="11900" w:h="16838" w:orient="portrait"/>
          <w:cols w:equalWidth="0" w:num="1">
            <w:col w:w="11380"/>
          </w:cols>
          <w:pgMar w:left="240" w:top="125" w:right="279" w:bottom="40" w:gutter="0" w:footer="0" w:header="0"/>
        </w:sectPr>
      </w:pPr>
    </w:p>
    <w:bookmarkStart w:id="68" w:name="page69"/>
    <w:bookmarkEnd w:id="68"/>
    <w:p>
      <w:pPr>
        <w:ind w:right="160" w:firstLine="1305"/>
        <w:spacing w:after="0" w:line="277" w:lineRule="auto"/>
        <w:tabs>
          <w:tab w:leader="none" w:pos="199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7, Shares of Restricted Stock may not be sold, transferred, pledged, assigned, or otherwise alienated or hypothecated until the end of the applicable Period of Restriction.</w:t>
      </w:r>
    </w:p>
    <w:p>
      <w:pPr>
        <w:spacing w:after="0" w:line="170" w:lineRule="exact"/>
        <w:rPr>
          <w:rFonts w:ascii="Arial" w:cs="Arial" w:eastAsia="Arial" w:hAnsi="Arial"/>
          <w:sz w:val="18"/>
          <w:szCs w:val="18"/>
          <w:color w:val="auto"/>
        </w:rPr>
      </w:pPr>
    </w:p>
    <w:p>
      <w:pPr>
        <w:ind w:right="120" w:firstLine="1305"/>
        <w:spacing w:after="0" w:line="277" w:lineRule="auto"/>
        <w:tabs>
          <w:tab w:leader="none" w:pos="200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70" w:lineRule="exact"/>
        <w:rPr>
          <w:rFonts w:ascii="Arial" w:cs="Arial" w:eastAsia="Arial" w:hAnsi="Arial"/>
          <w:sz w:val="18"/>
          <w:szCs w:val="18"/>
          <w:color w:val="auto"/>
        </w:rPr>
      </w:pPr>
    </w:p>
    <w:p>
      <w:pPr>
        <w:ind w:right="100" w:firstLine="1305"/>
        <w:spacing w:after="0" w:line="259" w:lineRule="auto"/>
        <w:tabs>
          <w:tab w:leader="none" w:pos="199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The restrictions will lapse at a rate determined by the Administrator; provided, however, that Shares of Restricted Stock will vest no earlier than one-third (1/3rd) of the total number Shares of Restricted Stock subject to an Award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the date of grant, unless the Administrator determines that the Award is to vest upon the achievement of a performance objective, provided the period for measuring performance will be at least twelve months. After the grant of Restricted Stock, the Administrator, in its sole discretion, may reduce or waive any restrictions for such Restricted Stock upon or in connection with a Change in Control or upon or in connection with a Participant’s termination of service, including, without limitation, due to death or Disability.</w:t>
      </w:r>
    </w:p>
    <w:p>
      <w:pPr>
        <w:spacing w:after="0" w:line="187" w:lineRule="exact"/>
        <w:rPr>
          <w:sz w:val="20"/>
          <w:szCs w:val="20"/>
          <w:color w:val="auto"/>
        </w:rPr>
      </w:pPr>
    </w:p>
    <w:p>
      <w:pPr>
        <w:ind w:right="340" w:firstLine="1305"/>
        <w:spacing w:after="0" w:line="277" w:lineRule="auto"/>
        <w:tabs>
          <w:tab w:leader="none" w:pos="2016"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70" w:lineRule="exact"/>
        <w:rPr>
          <w:rFonts w:ascii="Arial" w:cs="Arial" w:eastAsia="Arial" w:hAnsi="Arial"/>
          <w:sz w:val="18"/>
          <w:szCs w:val="18"/>
          <w:color w:val="auto"/>
        </w:rPr>
      </w:pPr>
    </w:p>
    <w:p>
      <w:pPr>
        <w:ind w:right="20" w:firstLine="1305"/>
        <w:spacing w:after="0" w:line="259" w:lineRule="auto"/>
        <w:tabs>
          <w:tab w:leader="none" w:pos="2001"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otherwise provided in the Award Agreement. If any such dividends or distributions are paid in Shares, the Shares will be subject to the same restrictions on transferability and forfeitability as the Shares of Restricted Stock with respect to which they were paid.</w:t>
      </w:r>
    </w:p>
    <w:p>
      <w:pPr>
        <w:spacing w:after="0" w:line="186" w:lineRule="exact"/>
        <w:rPr>
          <w:rFonts w:ascii="Arial" w:cs="Arial" w:eastAsia="Arial" w:hAnsi="Arial"/>
          <w:sz w:val="18"/>
          <w:szCs w:val="18"/>
          <w:color w:val="auto"/>
        </w:rPr>
      </w:pPr>
    </w:p>
    <w:p>
      <w:pPr>
        <w:ind w:right="20" w:firstLine="1305"/>
        <w:spacing w:after="0" w:line="277" w:lineRule="auto"/>
        <w:tabs>
          <w:tab w:leader="none" w:pos="2001"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77" w:lineRule="auto"/>
        <w:tabs>
          <w:tab w:leader="none" w:pos="1991"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Grant of SARs</w:t>
      </w:r>
      <w:r>
        <w:rPr>
          <w:rFonts w:ascii="Arial" w:cs="Arial" w:eastAsia="Arial" w:hAnsi="Arial"/>
          <w:sz w:val="18"/>
          <w:szCs w:val="18"/>
          <w:color w:val="auto"/>
        </w:rPr>
        <w:t>. Subject to the terms and conditions of the Plan, a SAR may be granted to Service Providers at any time and from time to time as will be determined by the Administrator, in its sole discretion.</w:t>
      </w:r>
    </w:p>
    <w:p>
      <w:pPr>
        <w:spacing w:after="0" w:line="170" w:lineRule="exact"/>
        <w:rPr>
          <w:rFonts w:ascii="Arial" w:cs="Arial" w:eastAsia="Arial" w:hAnsi="Arial"/>
          <w:sz w:val="18"/>
          <w:szCs w:val="18"/>
          <w:color w:val="auto"/>
        </w:rPr>
      </w:pPr>
    </w:p>
    <w:p>
      <w:pPr>
        <w:ind w:right="40" w:firstLine="1305"/>
        <w:spacing w:after="0" w:line="259" w:lineRule="auto"/>
        <w:tabs>
          <w:tab w:leader="none" w:pos="2001"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SARs granted to any Participant, provided that during any Fiscal Year, no Participant will be granted SARs or Options covering more than 1,000,000 Shares. Notwithstanding the foregoing limitation, in connection with a Participant’s initial service as an Employee, an Employee may be granted SARs or Options covering up to an additional 1,000,000 Shares.</w:t>
      </w:r>
    </w:p>
    <w:p>
      <w:pPr>
        <w:spacing w:after="0" w:line="186" w:lineRule="exact"/>
        <w:rPr>
          <w:rFonts w:ascii="Arial" w:cs="Arial" w:eastAsia="Arial" w:hAnsi="Arial"/>
          <w:sz w:val="18"/>
          <w:szCs w:val="18"/>
          <w:color w:val="auto"/>
        </w:rPr>
      </w:pPr>
    </w:p>
    <w:p>
      <w:pPr>
        <w:ind w:right="460" w:firstLine="1305"/>
        <w:spacing w:after="0" w:line="264" w:lineRule="auto"/>
        <w:tabs>
          <w:tab w:leader="none" w:pos="1991"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Administrator, subject to the provisions of the Plan, will have complete discretion to determine the terms and conditions of SARs granted under the Plan, provided, however, that the exercise price will be not less than one hundred percent (100%) of the Fair Market Value of a Share on the date of grant.</w:t>
      </w:r>
    </w:p>
    <w:p>
      <w:pPr>
        <w:spacing w:after="0" w:line="181" w:lineRule="exact"/>
        <w:rPr>
          <w:rFonts w:ascii="Arial" w:cs="Arial" w:eastAsia="Arial" w:hAnsi="Arial"/>
          <w:sz w:val="18"/>
          <w:szCs w:val="18"/>
          <w:color w:val="auto"/>
        </w:rPr>
      </w:pPr>
    </w:p>
    <w:p>
      <w:pPr>
        <w:ind w:right="160" w:firstLine="1305"/>
        <w:spacing w:after="0" w:line="277" w:lineRule="auto"/>
        <w:tabs>
          <w:tab w:leader="none" w:pos="2001"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SAR Agreement</w:t>
      </w:r>
      <w:r>
        <w:rPr>
          <w:rFonts w:ascii="Arial" w:cs="Arial" w:eastAsia="Arial" w:hAnsi="Arial"/>
          <w:sz w:val="18"/>
          <w:szCs w:val="18"/>
          <w:color w:val="auto"/>
        </w:rPr>
        <w:t>. Each SAR grant will be evidenced by an Award Agreement that will specify the exercise price, the term of the SAR, the conditions of exercise, and such other terms and conditions as the Administrator, in its sole discretion, will determine.</w:t>
      </w:r>
    </w:p>
    <w:p>
      <w:pPr>
        <w:spacing w:after="0" w:line="170" w:lineRule="exact"/>
        <w:rPr>
          <w:rFonts w:ascii="Arial" w:cs="Arial" w:eastAsia="Arial" w:hAnsi="Arial"/>
          <w:sz w:val="18"/>
          <w:szCs w:val="18"/>
          <w:color w:val="auto"/>
        </w:rPr>
      </w:pPr>
    </w:p>
    <w:p>
      <w:pPr>
        <w:ind w:right="660" w:firstLine="1305"/>
        <w:spacing w:after="0" w:line="308" w:lineRule="auto"/>
        <w:tabs>
          <w:tab w:leader="none" w:pos="1991"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Expiration of SARs</w:t>
      </w:r>
      <w:r>
        <w:rPr>
          <w:rFonts w:ascii="Arial" w:cs="Arial" w:eastAsia="Arial" w:hAnsi="Arial"/>
          <w:sz w:val="17"/>
          <w:szCs w:val="17"/>
          <w:color w:val="auto"/>
        </w:rPr>
        <w:t>. A SAR granted under the Plan will expire upon the date determined by the Administrator, in its sole discretion, and set forth in the Award Agreement. Notwithstanding the foregoing, the rules of Section 6(d) also will apply to SARs.</w:t>
      </w:r>
    </w:p>
    <w:p>
      <w:pPr>
        <w:spacing w:after="0" w:line="146" w:lineRule="exact"/>
        <w:rPr>
          <w:rFonts w:ascii="Arial" w:cs="Arial" w:eastAsia="Arial" w:hAnsi="Arial"/>
          <w:sz w:val="17"/>
          <w:szCs w:val="17"/>
          <w:color w:val="auto"/>
        </w:rPr>
      </w:pPr>
    </w:p>
    <w:p>
      <w:pPr>
        <w:ind w:right="320" w:firstLine="1305"/>
        <w:spacing w:after="0" w:line="277" w:lineRule="auto"/>
        <w:tabs>
          <w:tab w:leader="none" w:pos="2016"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Payment of SAR Amount</w:t>
      </w:r>
      <w:r>
        <w:rPr>
          <w:rFonts w:ascii="Arial" w:cs="Arial" w:eastAsia="Arial" w:hAnsi="Arial"/>
          <w:sz w:val="18"/>
          <w:szCs w:val="18"/>
          <w:color w:val="auto"/>
        </w:rPr>
        <w:t>. Upon exercise of a SAR, a Participant will be entitled to receive payment from the Company in an amount determined by multiplying:</w:t>
      </w:r>
    </w:p>
    <w:p>
      <w:pPr>
        <w:spacing w:after="0" w:line="170" w:lineRule="exact"/>
        <w:rPr>
          <w:rFonts w:ascii="Arial" w:cs="Arial" w:eastAsia="Arial" w:hAnsi="Arial"/>
          <w:sz w:val="18"/>
          <w:szCs w:val="18"/>
          <w:color w:val="auto"/>
        </w:rPr>
      </w:pPr>
    </w:p>
    <w:p>
      <w:pPr>
        <w:ind w:left="2620" w:hanging="343"/>
        <w:spacing w:after="0"/>
        <w:tabs>
          <w:tab w:leader="none" w:pos="2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At the discretion of the Administrator, the payment upon SAR exercise may be in cash, in Shares of equivalent value, or in some combination thereof.</w:t>
      </w:r>
    </w:p>
    <w:p>
      <w:pPr>
        <w:spacing w:after="0" w:line="237" w:lineRule="exact"/>
        <w:rPr>
          <w:sz w:val="20"/>
          <w:szCs w:val="20"/>
          <w:color w:val="auto"/>
        </w:rPr>
      </w:pPr>
    </w:p>
    <w:p>
      <w:pPr>
        <w:ind w:left="1380" w:hanging="724"/>
        <w:spacing w:after="0"/>
        <w:tabs>
          <w:tab w:leader="none" w:pos="13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97" w:lineRule="auto"/>
        <w:tabs>
          <w:tab w:leader="none" w:pos="1991"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Grant of Performance Units/Shares</w:t>
      </w:r>
      <w:r>
        <w:rPr>
          <w:rFonts w:ascii="Arial" w:cs="Arial" w:eastAsia="Arial" w:hAnsi="Arial"/>
          <w:sz w:val="16"/>
          <w:szCs w:val="16"/>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Units/Shares granted to each Participant provided that during any Fiscal Year, (a) no Participant will receive Performance Units having an initial value greater than $5,000,000, and (b) no Participant will receive more than 500,000 Performance Shares. Notwithstanding the foregoing limitation, in connection with a Participant’s initial service as an Employee, an Employee may be granted up to an additional 500,000 Performance Shares.</w:t>
      </w:r>
    </w:p>
    <w:p>
      <w:pPr>
        <w:sectPr>
          <w:pgSz w:w="11900" w:h="16838" w:orient="portrait"/>
          <w:cols w:equalWidth="0" w:num="1">
            <w:col w:w="11420"/>
          </w:cols>
          <w:pgMar w:left="240" w:top="125" w:right="239" w:bottom="0" w:gutter="0" w:footer="0" w:header="0"/>
        </w:sectPr>
      </w:pP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or before the date of grant.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140" w:hanging="7"/>
        <w:spacing w:after="0" w:line="342" w:lineRule="auto"/>
        <w:rPr>
          <w:sz w:val="20"/>
          <w:szCs w:val="20"/>
          <w:color w:val="auto"/>
        </w:rPr>
      </w:pPr>
      <w:r>
        <w:rPr>
          <w:rFonts w:ascii="Arial" w:cs="Arial" w:eastAsia="Arial" w:hAnsi="Arial"/>
          <w:sz w:val="16"/>
          <w:szCs w:val="16"/>
          <w:u w:val="single" w:color="auto"/>
          <w:color w:val="auto"/>
        </w:rPr>
        <w:t>Value of Performance Units/Shares</w:t>
      </w:r>
      <w:r>
        <w:rPr>
          <w:rFonts w:ascii="Arial" w:cs="Arial" w:eastAsia="Arial" w:hAnsi="Arial"/>
          <w:sz w:val="16"/>
          <w:szCs w:val="16"/>
          <w:color w:val="auto"/>
        </w:rPr>
        <w:t>. Each Performance Unit will have an initial value that is established by the Administrator on Each Performance Share will have an initial value equal to the Fair Market Value of a Share on the date of grant.</w:t>
      </w:r>
    </w:p>
    <w:p>
      <w:pPr>
        <w:spacing w:after="0" w:line="124" w:lineRule="exact"/>
        <w:rPr>
          <w:sz w:val="20"/>
          <w:szCs w:val="20"/>
          <w:color w:val="auto"/>
        </w:rPr>
      </w:pPr>
    </w:p>
    <w:p>
      <w:pPr>
        <w:sectPr>
          <w:pgSz w:w="11900" w:h="16838" w:orient="portrait"/>
          <w:cols w:equalWidth="0" w:num="2">
            <w:col w:w="1920" w:space="100"/>
            <w:col w:w="9400"/>
          </w:cols>
          <w:pgMar w:left="240" w:top="125" w:right="239" w:bottom="0" w:gutter="0" w:footer="0" w:header="0"/>
          <w:type w:val="continuous"/>
        </w:sectPr>
      </w:pPr>
    </w:p>
    <w:p>
      <w:pPr>
        <w:ind w:right="200" w:firstLine="1305"/>
        <w:spacing w:after="0" w:line="342" w:lineRule="auto"/>
        <w:tabs>
          <w:tab w:leader="none" w:pos="199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Performance Objectives and Other Terms</w:t>
      </w:r>
      <w:r>
        <w:rPr>
          <w:rFonts w:ascii="Arial" w:cs="Arial" w:eastAsia="Arial" w:hAnsi="Arial"/>
          <w:sz w:val="16"/>
          <w:szCs w:val="16"/>
          <w:color w:val="auto"/>
        </w:rPr>
        <w:t>. The Administrator will set performance objectives or other vesting provisions (including, without limitation, continued status as a Service Provider) in its discretion which, depending on the extent to which they are met, will determine</w:t>
      </w:r>
    </w:p>
    <w:p>
      <w:pPr>
        <w:sectPr>
          <w:pgSz w:w="11900" w:h="16838" w:orient="portrait"/>
          <w:cols w:equalWidth="0" w:num="1">
            <w:col w:w="11420"/>
          </w:cols>
          <w:pgMar w:left="240" w:top="125" w:right="239" w:bottom="0" w:gutter="0" w:footer="0" w:header="0"/>
          <w:type w:val="continuous"/>
        </w:sectPr>
      </w:pPr>
    </w:p>
    <w:bookmarkStart w:id="69" w:name="page70"/>
    <w:bookmarkEnd w:id="69"/>
    <w:p>
      <w:pPr>
        <w:ind w:right="80"/>
        <w:spacing w:after="0" w:line="257" w:lineRule="auto"/>
        <w:rPr>
          <w:sz w:val="20"/>
          <w:szCs w:val="20"/>
          <w:color w:val="auto"/>
        </w:rPr>
      </w:pPr>
      <w:r>
        <w:rPr>
          <w:rFonts w:ascii="Arial" w:cs="Arial" w:eastAsia="Arial" w:hAnsi="Arial"/>
          <w:sz w:val="18"/>
          <w:szCs w:val="18"/>
          <w:color w:val="auto"/>
        </w:rPr>
        <w:t>the number or value of Performance Units/Shares that will be paid out to the Participant .. Each Award of Performance Units/Shares will be evidenced by an Award Agreement that will specify the Performance Period, and such other terms and conditions as the Administrator, in its sole discretion, will determine; provided, however, that Awards of Performance Units/Shares will vest no earlier than one-third (1/3) of the total number units or Shares subject to such Award each year from the date of grant, unless the Administrator determines that the Award is to vest upon the achievement of a performance objective, provided the period for measuring performance will be at least twelve months.</w:t>
      </w:r>
    </w:p>
    <w:p>
      <w:pPr>
        <w:spacing w:after="0" w:line="188" w:lineRule="exact"/>
        <w:rPr>
          <w:sz w:val="20"/>
          <w:szCs w:val="20"/>
          <w:color w:val="auto"/>
        </w:rPr>
      </w:pPr>
    </w:p>
    <w:p>
      <w:pPr>
        <w:ind w:firstLine="1305"/>
        <w:spacing w:after="0" w:line="255" w:lineRule="auto"/>
        <w:tabs>
          <w:tab w:leader="none" w:pos="2001"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Earning of Performance Units/Shares</w:t>
      </w:r>
      <w:r>
        <w:rPr>
          <w:rFonts w:ascii="Arial" w:cs="Arial" w:eastAsia="Arial" w:hAnsi="Arial"/>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upon or in connection with a Change in Control or upon or in connection with a Participant’s termination of service, including, without limitation, due to death or Disability.</w:t>
      </w:r>
    </w:p>
    <w:p>
      <w:pPr>
        <w:spacing w:after="0" w:line="193" w:lineRule="exact"/>
        <w:rPr>
          <w:rFonts w:ascii="Arial" w:cs="Arial" w:eastAsia="Arial" w:hAnsi="Arial"/>
          <w:sz w:val="18"/>
          <w:szCs w:val="18"/>
          <w:color w:val="auto"/>
        </w:rPr>
      </w:pPr>
    </w:p>
    <w:p>
      <w:pPr>
        <w:jc w:val="both"/>
        <w:ind w:right="120" w:firstLine="1305"/>
        <w:spacing w:after="0" w:line="259" w:lineRule="auto"/>
        <w:tabs>
          <w:tab w:leader="none" w:pos="1991"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Units/Shares</w:t>
      </w:r>
      <w:r>
        <w:rPr>
          <w:rFonts w:ascii="Arial" w:cs="Arial" w:eastAsia="Arial" w:hAnsi="Arial"/>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86" w:lineRule="exact"/>
        <w:rPr>
          <w:rFonts w:ascii="Arial" w:cs="Arial" w:eastAsia="Arial" w:hAnsi="Arial"/>
          <w:sz w:val="18"/>
          <w:szCs w:val="18"/>
          <w:color w:val="auto"/>
        </w:rPr>
      </w:pPr>
    </w:p>
    <w:p>
      <w:pPr>
        <w:ind w:right="100" w:firstLine="1305"/>
        <w:spacing w:after="0" w:line="277" w:lineRule="auto"/>
        <w:tabs>
          <w:tab w:leader="none" w:pos="2016"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170" w:lineRule="exact"/>
        <w:rPr>
          <w:rFonts w:ascii="Arial" w:cs="Arial" w:eastAsia="Arial" w:hAnsi="Arial"/>
          <w:sz w:val="18"/>
          <w:szCs w:val="18"/>
          <w:color w:val="auto"/>
        </w:rPr>
      </w:pPr>
    </w:p>
    <w:p>
      <w:pPr>
        <w:ind w:right="120" w:firstLine="656"/>
        <w:spacing w:after="0" w:line="312" w:lineRule="auto"/>
        <w:tabs>
          <w:tab w:leader="none" w:pos="1368"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Other Cash or Stock Awards</w:t>
      </w:r>
      <w:r>
        <w:rPr>
          <w:rFonts w:ascii="Arial" w:cs="Arial" w:eastAsia="Arial" w:hAnsi="Arial"/>
          <w:sz w:val="16"/>
          <w:szCs w:val="16"/>
          <w:color w:val="auto"/>
        </w:rPr>
        <w:t>. In addition to the incentives described in Sections 6 through 9 above, the Administrator may grant other incentives payable in cash or Shares under the Plan as it determines to be in the best interests of the Company and subject to such other terms and conditions as it deems appropriate, provided that in any Fiscal Year, a Participant will not receive a cash Award under this Section in excess of $5,000,000.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9" w:lineRule="exact"/>
        <w:rPr>
          <w:rFonts w:ascii="Arial" w:cs="Arial" w:eastAsia="Arial" w:hAnsi="Arial"/>
          <w:sz w:val="16"/>
          <w:szCs w:val="16"/>
          <w:color w:val="auto"/>
        </w:rPr>
      </w:pPr>
    </w:p>
    <w:p>
      <w:pPr>
        <w:ind w:right="40" w:firstLine="656"/>
        <w:spacing w:after="0" w:line="286" w:lineRule="auto"/>
        <w:tabs>
          <w:tab w:leader="none" w:pos="1362"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Performance Goals</w:t>
      </w:r>
      <w:r>
        <w:rPr>
          <w:rFonts w:ascii="Arial" w:cs="Arial" w:eastAsia="Arial" w:hAnsi="Arial"/>
          <w:sz w:val="16"/>
          <w:szCs w:val="16"/>
          <w:color w:val="auto"/>
        </w:rPr>
        <w:t>. Awards of Restricted Stock, Performance Shares and Performance Units and other incentives under the Plan may be made subject to the attainment of performance goals relating to one or more business criteria within the meaning of Section 162(m) of the Code and may provide for a targeted level or levels of achievement (“Performance Goals”) including cash flow; cash position; earnings before interest and taxes; earnings before interest, taxes, depreciation and amortization; earnings per Share; economic profit; economic value added; equity or stockholder’s equity; market share; net income; net profit; net sales; operating earnings; operating income; profit before tax; ratio of debt to debt plus equity; ratio of operating earnings to capital spending; sales growth; return on net assets; or total return to stockholders. Any Performance Goals may be used to measure the performance of the Company as a whole or a business unit of the Company and may be measured relative to a peer group or index. The Performance Goals for a Participant will be determined by the Administrator based on the Company’s tactical and strategic business objectives, which may differ from Participant to Participant and from Award to Award. Prior to the Determination Date, the Administrator will determine whether to make any adjustments to the calculation of any Performance Goal with respect to any Participant for any significant or extraordinary events affecting the Company. In all other respects, Performance Goals will be calculated in accordance with the Company’s financial statements, generally accepted accounting principles, or under a methodology established by the Administrator prior to the issuance of an Award, which is consistently applied and identified in the financial statements, including footnotes, or the management discussion and analysis section of the Company’s annual report.</w:t>
      </w:r>
    </w:p>
    <w:p>
      <w:pPr>
        <w:spacing w:after="0" w:line="174" w:lineRule="exact"/>
        <w:rPr>
          <w:rFonts w:ascii="Arial" w:cs="Arial" w:eastAsia="Arial" w:hAnsi="Arial"/>
          <w:sz w:val="16"/>
          <w:szCs w:val="16"/>
          <w:color w:val="auto"/>
        </w:rPr>
      </w:pPr>
    </w:p>
    <w:p>
      <w:pPr>
        <w:ind w:right="400" w:firstLine="656"/>
        <w:spacing w:after="0" w:line="291" w:lineRule="auto"/>
        <w:tabs>
          <w:tab w:leader="none" w:pos="1368"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Leaves of Absence</w:t>
      </w:r>
      <w:r>
        <w:rPr>
          <w:rFonts w:ascii="Arial" w:cs="Arial" w:eastAsia="Arial" w:hAnsi="Arial"/>
          <w:sz w:val="16"/>
          <w:szCs w:val="16"/>
          <w:color w:val="auto"/>
        </w:rPr>
        <w:t>. Unless the Administrator provides otherwise, vesting of Awards granted hereunder will be suspended during any unpaid leave of absence. A Service Provider will not cease to be an Employee in the case of (i) any leave of absence approved by the Company or</w:t>
      </w:r>
    </w:p>
    <w:p>
      <w:pPr>
        <w:ind w:right="20" w:firstLine="8"/>
        <w:spacing w:after="0" w:line="295" w:lineRule="auto"/>
        <w:tabs>
          <w:tab w:leader="none" w:pos="26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transfers between locations of the Company or between the Company, its Parent, or any Subsidiary. For purposes of Incentive Stock Options, no such leave may exceed ninety (90) days, unless reemployment upon expiration of such leave is guaranteed by statute or contract. If reemployment upon expiration of a leave of absence approved by the Company is not so guaranteed, then three (3) months following the 91st day of such leave any Incentive Stock Option held by the Participant will cease to be treated as an Incentive Stock Option and will be treated for tax purposes as a Nonstatutory Stock Option.</w:t>
      </w:r>
    </w:p>
    <w:p>
      <w:pPr>
        <w:spacing w:after="0" w:line="161" w:lineRule="exact"/>
        <w:rPr>
          <w:rFonts w:ascii="Arial" w:cs="Arial" w:eastAsia="Arial" w:hAnsi="Arial"/>
          <w:sz w:val="16"/>
          <w:szCs w:val="16"/>
          <w:color w:val="auto"/>
        </w:rPr>
      </w:pPr>
    </w:p>
    <w:p>
      <w:pPr>
        <w:ind w:firstLine="656"/>
        <w:spacing w:after="0" w:line="259" w:lineRule="auto"/>
        <w:tabs>
          <w:tab w:leader="none" w:pos="1368"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86" w:lineRule="exact"/>
        <w:rPr>
          <w:rFonts w:ascii="Arial" w:cs="Arial" w:eastAsia="Arial" w:hAnsi="Arial"/>
          <w:sz w:val="18"/>
          <w:szCs w:val="18"/>
          <w:color w:val="auto"/>
        </w:rPr>
      </w:pPr>
    </w:p>
    <w:p>
      <w:pPr>
        <w:ind w:right="340" w:firstLine="656"/>
        <w:spacing w:after="0" w:line="259" w:lineRule="auto"/>
        <w:tabs>
          <w:tab w:leader="none" w:pos="1368"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 due to Misconduct</w:t>
      </w:r>
      <w:r>
        <w:rPr>
          <w:rFonts w:ascii="Arial" w:cs="Arial" w:eastAsia="Arial" w:hAnsi="Arial"/>
          <w:sz w:val="18"/>
          <w:szCs w:val="18"/>
          <w:color w:val="auto"/>
        </w:rPr>
        <w:t>. If a Participant ceases to be a Service Provider due to his or her Misconduct or should a Participant engage in Misconduct while holding an outstanding Award, then all Awards that the Participant then holds will immediately terminate and the Participant will have no further rights with respect to such Awards. Upon such a termination, the Shares covered by the Awards that so terminate will revert to the Plan.</w:t>
      </w:r>
    </w:p>
    <w:p>
      <w:pPr>
        <w:spacing w:after="0" w:line="186" w:lineRule="exact"/>
        <w:rPr>
          <w:rFonts w:ascii="Arial" w:cs="Arial" w:eastAsia="Arial" w:hAnsi="Arial"/>
          <w:sz w:val="18"/>
          <w:szCs w:val="18"/>
          <w:color w:val="auto"/>
        </w:rPr>
      </w:pPr>
    </w:p>
    <w:p>
      <w:pPr>
        <w:ind w:left="1380" w:hanging="724"/>
        <w:spacing w:after="0"/>
        <w:tabs>
          <w:tab w:leader="none" w:pos="138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Awards to Outside Directors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80" w:firstLine="1305"/>
        <w:spacing w:after="0" w:line="264" w:lineRule="auto"/>
        <w:tabs>
          <w:tab w:leader="none" w:pos="1991"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Outside Directors will be entitled to receive all types of Awards under this Plan, including discretionary Awards not covered under this Section 15. All grants of Options and Restricted Stock Units to Outside Directors pursuant to this Section will be automatic and nondiscretionary, except as otherwise provided herein, and will be made in accordance with the following provisions:</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2277"/>
        <w:spacing w:after="0" w:line="286" w:lineRule="auto"/>
        <w:tabs>
          <w:tab w:leader="none" w:pos="2619" w:val="left"/>
        </w:tabs>
        <w:numPr>
          <w:ilvl w:val="3"/>
          <w:numId w:val="72"/>
        </w:numPr>
        <w:rPr>
          <w:rFonts w:ascii="Arial" w:cs="Arial" w:eastAsia="Arial" w:hAnsi="Arial"/>
          <w:sz w:val="17"/>
          <w:szCs w:val="17"/>
          <w:color w:val="auto"/>
        </w:rPr>
      </w:pPr>
      <w:r>
        <w:rPr>
          <w:rFonts w:ascii="Arial" w:cs="Arial" w:eastAsia="Arial" w:hAnsi="Arial"/>
          <w:sz w:val="17"/>
          <w:szCs w:val="17"/>
          <w:u w:val="single" w:color="auto"/>
          <w:color w:val="auto"/>
        </w:rPr>
        <w:t>First Option</w:t>
      </w:r>
      <w:r>
        <w:rPr>
          <w:rFonts w:ascii="Arial" w:cs="Arial" w:eastAsia="Arial" w:hAnsi="Arial"/>
          <w:sz w:val="17"/>
          <w:szCs w:val="17"/>
          <w:color w:val="auto"/>
        </w:rPr>
        <w:t>. Each Outside Director who becomes an Outside Director after March 7, 2007 will be automatically granted a Nonstatutory Stock Option to purchase 30,000 Shares (the “First Option”) on the date on which such person first becomes an Outside Director, whether through election by the stockholders of the Company or appointment by the Board to fill a vacancy;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-6036310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however, that an Inside Director who ceases to be an Inside Director but who remains a Director will not receive a First Option.</w:t>
      </w:r>
    </w:p>
    <w:p>
      <w:pPr>
        <w:sectPr>
          <w:pgSz w:w="11900" w:h="16838" w:orient="portrait"/>
          <w:cols w:equalWidth="0" w:num="1">
            <w:col w:w="11400"/>
          </w:cols>
          <w:pgMar w:left="240" w:top="125" w:right="259" w:bottom="0" w:gutter="0" w:footer="0" w:header="0"/>
          <w:type w:val="continuous"/>
        </w:sectPr>
      </w:pPr>
    </w:p>
    <w:bookmarkStart w:id="70" w:name="page71"/>
    <w:bookmarkEnd w:id="70"/>
    <w:p>
      <w:pPr>
        <w:spacing w:after="0" w:line="96" w:lineRule="exact"/>
        <w:rPr>
          <w:sz w:val="20"/>
          <w:szCs w:val="20"/>
          <w:color w:val="auto"/>
        </w:rPr>
      </w:pPr>
    </w:p>
    <w:p>
      <w:pPr>
        <w:ind w:firstLine="2277"/>
        <w:spacing w:after="0" w:line="312" w:lineRule="auto"/>
        <w:tabs>
          <w:tab w:leader="none" w:pos="2624" w:val="left"/>
        </w:tabs>
        <w:numPr>
          <w:ilvl w:val="2"/>
          <w:numId w:val="73"/>
        </w:numPr>
        <w:rPr>
          <w:rFonts w:ascii="Arial" w:cs="Arial" w:eastAsia="Arial" w:hAnsi="Arial"/>
          <w:sz w:val="16"/>
          <w:szCs w:val="16"/>
          <w:color w:val="auto"/>
        </w:rPr>
      </w:pPr>
      <w:r>
        <w:rPr>
          <w:rFonts w:ascii="Arial" w:cs="Arial" w:eastAsia="Arial" w:hAnsi="Arial"/>
          <w:sz w:val="16"/>
          <w:szCs w:val="16"/>
          <w:u w:val="single" w:color="auto"/>
          <w:color w:val="auto"/>
        </w:rPr>
        <w:t>Subsequent Option</w:t>
      </w:r>
      <w:r>
        <w:rPr>
          <w:rFonts w:ascii="Arial" w:cs="Arial" w:eastAsia="Arial" w:hAnsi="Arial"/>
          <w:sz w:val="16"/>
          <w:szCs w:val="16"/>
          <w:color w:val="auto"/>
        </w:rPr>
        <w:t xml:space="preserve">. Each Outside Director will be automatically granted a Nonstatutory Stock Option to purchase 10,000 Shares (a “Subsequent Option”) on the date of each annual meeting of the Company’s stockholders following March 7, 2007;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he or she is then an Outside Director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as of such date, he or she will have served on the Board for at least the preceding six (6) months.</w:t>
      </w:r>
    </w:p>
    <w:p>
      <w:pPr>
        <w:spacing w:after="0" w:line="146" w:lineRule="exact"/>
        <w:rPr>
          <w:rFonts w:ascii="Arial" w:cs="Arial" w:eastAsia="Arial" w:hAnsi="Arial"/>
          <w:sz w:val="16"/>
          <w:szCs w:val="16"/>
          <w:color w:val="auto"/>
        </w:rPr>
      </w:pPr>
    </w:p>
    <w:p>
      <w:pPr>
        <w:ind w:left="2640" w:hanging="363"/>
        <w:spacing w:after="0"/>
        <w:tabs>
          <w:tab w:leader="none" w:pos="2640" w:val="left"/>
        </w:tabs>
        <w:numPr>
          <w:ilvl w:val="2"/>
          <w:numId w:val="73"/>
        </w:numPr>
        <w:rPr>
          <w:rFonts w:ascii="Arial" w:cs="Arial" w:eastAsia="Arial" w:hAnsi="Arial"/>
          <w:sz w:val="18"/>
          <w:szCs w:val="18"/>
          <w:color w:val="auto"/>
        </w:rPr>
      </w:pPr>
      <w:r>
        <w:rPr>
          <w:rFonts w:ascii="Arial" w:cs="Arial" w:eastAsia="Arial" w:hAnsi="Arial"/>
          <w:sz w:val="18"/>
          <w:szCs w:val="18"/>
          <w:u w:val="single" w:color="auto"/>
          <w:color w:val="auto"/>
        </w:rPr>
        <w:t>Terms of Options</w:t>
      </w:r>
      <w:r>
        <w:rPr>
          <w:rFonts w:ascii="Arial" w:cs="Arial" w:eastAsia="Arial" w:hAnsi="Arial"/>
          <w:sz w:val="18"/>
          <w:szCs w:val="18"/>
          <w:color w:val="auto"/>
        </w:rPr>
        <w:t>. The terms of First Options and Subsequent Options granted hereunder will be as follows:</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3"/>
          <w:numId w:val="73"/>
        </w:numPr>
        <w:rPr>
          <w:rFonts w:ascii="Arial" w:cs="Arial" w:eastAsia="Arial" w:hAnsi="Arial"/>
          <w:sz w:val="18"/>
          <w:szCs w:val="18"/>
          <w:color w:val="auto"/>
        </w:rPr>
      </w:pPr>
      <w:r>
        <w:rPr>
          <w:rFonts w:ascii="Arial" w:cs="Arial" w:eastAsia="Arial" w:hAnsi="Arial"/>
          <w:sz w:val="18"/>
          <w:szCs w:val="18"/>
          <w:color w:val="auto"/>
        </w:rPr>
        <w:t>the term of each Option will be ten (10) years.</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3"/>
          <w:numId w:val="73"/>
        </w:numPr>
        <w:rPr>
          <w:rFonts w:ascii="Arial" w:cs="Arial" w:eastAsia="Arial" w:hAnsi="Arial"/>
          <w:sz w:val="18"/>
          <w:szCs w:val="18"/>
          <w:color w:val="auto"/>
        </w:rPr>
      </w:pPr>
      <w:r>
        <w:rPr>
          <w:rFonts w:ascii="Arial" w:cs="Arial" w:eastAsia="Arial" w:hAnsi="Arial"/>
          <w:sz w:val="18"/>
          <w:szCs w:val="18"/>
          <w:color w:val="auto"/>
        </w:rPr>
        <w:t>the exercise price per Share will be 100% of the Fair Market Value per Share on the date of grant.</w:t>
      </w:r>
    </w:p>
    <w:p>
      <w:pPr>
        <w:spacing w:after="0" w:line="225" w:lineRule="exact"/>
        <w:rPr>
          <w:rFonts w:ascii="Arial" w:cs="Arial" w:eastAsia="Arial" w:hAnsi="Arial"/>
          <w:sz w:val="18"/>
          <w:szCs w:val="18"/>
          <w:color w:val="auto"/>
        </w:rPr>
      </w:pPr>
    </w:p>
    <w:p>
      <w:pPr>
        <w:ind w:right="20" w:firstLine="2601"/>
        <w:spacing w:after="0" w:line="257" w:lineRule="auto"/>
        <w:tabs>
          <w:tab w:leader="none" w:pos="3298" w:val="left"/>
        </w:tabs>
        <w:numPr>
          <w:ilvl w:val="3"/>
          <w:numId w:val="73"/>
        </w:numPr>
        <w:rPr>
          <w:rFonts w:ascii="Arial" w:cs="Arial" w:eastAsia="Arial" w:hAnsi="Arial"/>
          <w:sz w:val="18"/>
          <w:szCs w:val="18"/>
          <w:color w:val="auto"/>
        </w:rPr>
      </w:pPr>
      <w:r>
        <w:rPr>
          <w:rFonts w:ascii="Arial" w:cs="Arial" w:eastAsia="Arial" w:hAnsi="Arial"/>
          <w:sz w:val="18"/>
          <w:szCs w:val="18"/>
          <w:color w:val="auto"/>
        </w:rPr>
        <w:t>twenty-five percent (25%) of the Shares subject to each First Option will vest on each anniversary of the date of grant of such Option, so that 100% of the Shares subject to such Option will be vested four (4) years from the grant date, subject to Optionee continuing to be a Director through such dates. One hundred percent (100%) of the Shares subject to each Subsequent Option will vest on the earlier of (i) the one-year anniversary of the date of grant and (ii) the date of the next annual meeting of the Company’s stockholders following the date of grant, subject to the Optionee continuing to be a Director through such date.</w:t>
      </w:r>
    </w:p>
    <w:p>
      <w:pPr>
        <w:spacing w:after="0" w:line="188" w:lineRule="exact"/>
        <w:rPr>
          <w:rFonts w:ascii="Arial" w:cs="Arial" w:eastAsia="Arial" w:hAnsi="Arial"/>
          <w:sz w:val="18"/>
          <w:szCs w:val="18"/>
          <w:color w:val="auto"/>
        </w:rPr>
      </w:pPr>
    </w:p>
    <w:p>
      <w:pPr>
        <w:ind w:left="3300" w:hanging="699"/>
        <w:spacing w:after="0"/>
        <w:tabs>
          <w:tab w:leader="none" w:pos="3300" w:val="left"/>
        </w:tabs>
        <w:numPr>
          <w:ilvl w:val="3"/>
          <w:numId w:val="73"/>
        </w:numPr>
        <w:rPr>
          <w:rFonts w:ascii="Arial" w:cs="Arial" w:eastAsia="Arial" w:hAnsi="Arial"/>
          <w:sz w:val="17"/>
          <w:szCs w:val="17"/>
          <w:color w:val="auto"/>
        </w:rPr>
      </w:pPr>
      <w:r>
        <w:rPr>
          <w:rFonts w:ascii="Arial" w:cs="Arial" w:eastAsia="Arial" w:hAnsi="Arial"/>
          <w:sz w:val="17"/>
          <w:szCs w:val="17"/>
          <w:color w:val="auto"/>
        </w:rPr>
        <w:t>each Option granted under this Section 15 will have such other terms and conditions as the Administrator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determines.</w:t>
      </w:r>
    </w:p>
    <w:p>
      <w:pPr>
        <w:spacing w:after="0" w:line="210" w:lineRule="exact"/>
        <w:rPr>
          <w:rFonts w:ascii="Arial" w:cs="Arial" w:eastAsia="Arial" w:hAnsi="Arial"/>
          <w:sz w:val="17"/>
          <w:szCs w:val="17"/>
          <w:color w:val="auto"/>
        </w:rPr>
      </w:pPr>
    </w:p>
    <w:p>
      <w:pPr>
        <w:ind w:left="2000" w:hanging="695"/>
        <w:spacing w:after="0"/>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80" w:firstLine="2277"/>
        <w:spacing w:after="0" w:line="312" w:lineRule="auto"/>
        <w:tabs>
          <w:tab w:leader="none" w:pos="2619" w:val="left"/>
        </w:tabs>
        <w:numPr>
          <w:ilvl w:val="2"/>
          <w:numId w:val="74"/>
        </w:numPr>
        <w:rPr>
          <w:rFonts w:ascii="Arial" w:cs="Arial" w:eastAsia="Arial" w:hAnsi="Arial"/>
          <w:sz w:val="16"/>
          <w:szCs w:val="16"/>
          <w:color w:val="auto"/>
        </w:rPr>
      </w:pPr>
      <w:r>
        <w:rPr>
          <w:rFonts w:ascii="Arial" w:cs="Arial" w:eastAsia="Arial" w:hAnsi="Arial"/>
          <w:sz w:val="16"/>
          <w:szCs w:val="16"/>
          <w:u w:val="single" w:color="auto"/>
          <w:color w:val="auto"/>
        </w:rPr>
        <w:t>Annual Restricted Stock Units</w:t>
      </w:r>
      <w:r>
        <w:rPr>
          <w:rFonts w:ascii="Arial" w:cs="Arial" w:eastAsia="Arial" w:hAnsi="Arial"/>
          <w:sz w:val="16"/>
          <w:szCs w:val="16"/>
          <w:color w:val="auto"/>
        </w:rPr>
        <w:t xml:space="preserve">. Each Outside Director will be automatically granted an Award of 3,000 Restricted Stock Units (“Annual Restricted Stock Units”) on the date of each annual meeting of the Company’s stockholders following March 7, 2007;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he or she is then an Outside Director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as of such date, he or she will have served on the Board for at least the preceding six (6) months.</w:t>
      </w:r>
    </w:p>
    <w:p>
      <w:pPr>
        <w:spacing w:after="0" w:line="146" w:lineRule="exact"/>
        <w:rPr>
          <w:rFonts w:ascii="Arial" w:cs="Arial" w:eastAsia="Arial" w:hAnsi="Arial"/>
          <w:sz w:val="16"/>
          <w:szCs w:val="16"/>
          <w:color w:val="auto"/>
        </w:rPr>
      </w:pPr>
    </w:p>
    <w:p>
      <w:pPr>
        <w:ind w:left="2640" w:hanging="363"/>
        <w:spacing w:after="0"/>
        <w:tabs>
          <w:tab w:leader="none" w:pos="2640" w:val="left"/>
        </w:tabs>
        <w:numPr>
          <w:ilvl w:val="2"/>
          <w:numId w:val="74"/>
        </w:numPr>
        <w:rPr>
          <w:rFonts w:ascii="Arial" w:cs="Arial" w:eastAsia="Arial" w:hAnsi="Arial"/>
          <w:sz w:val="17"/>
          <w:szCs w:val="17"/>
          <w:color w:val="auto"/>
        </w:rPr>
      </w:pPr>
      <w:r>
        <w:rPr>
          <w:rFonts w:ascii="Arial" w:cs="Arial" w:eastAsia="Arial" w:hAnsi="Arial"/>
          <w:sz w:val="17"/>
          <w:szCs w:val="17"/>
          <w:u w:val="single" w:color="auto"/>
          <w:color w:val="auto"/>
        </w:rPr>
        <w:t>Terms of Restricted Stock Units</w:t>
      </w:r>
      <w:r>
        <w:rPr>
          <w:rFonts w:ascii="Arial" w:cs="Arial" w:eastAsia="Arial" w:hAnsi="Arial"/>
          <w:sz w:val="17"/>
          <w:szCs w:val="17"/>
          <w:color w:val="auto"/>
        </w:rPr>
        <w:t>. The terms of Annual Restricted Stock Units granted hereunder will be as follows:</w:t>
      </w:r>
    </w:p>
    <w:p>
      <w:pPr>
        <w:spacing w:after="0" w:line="236" w:lineRule="exact"/>
        <w:rPr>
          <w:rFonts w:ascii="Arial" w:cs="Arial" w:eastAsia="Arial" w:hAnsi="Arial"/>
          <w:sz w:val="17"/>
          <w:szCs w:val="17"/>
          <w:color w:val="auto"/>
        </w:rPr>
      </w:pPr>
    </w:p>
    <w:p>
      <w:pPr>
        <w:ind w:right="20" w:firstLine="2601"/>
        <w:spacing w:after="0" w:line="264" w:lineRule="auto"/>
        <w:tabs>
          <w:tab w:leader="none" w:pos="3298" w:val="left"/>
        </w:tabs>
        <w:numPr>
          <w:ilvl w:val="3"/>
          <w:numId w:val="74"/>
        </w:numPr>
        <w:rPr>
          <w:rFonts w:ascii="Arial" w:cs="Arial" w:eastAsia="Arial" w:hAnsi="Arial"/>
          <w:sz w:val="18"/>
          <w:szCs w:val="18"/>
          <w:color w:val="auto"/>
        </w:rPr>
      </w:pPr>
      <w:r>
        <w:rPr>
          <w:rFonts w:ascii="Arial" w:cs="Arial" w:eastAsia="Arial" w:hAnsi="Arial"/>
          <w:sz w:val="18"/>
          <w:szCs w:val="18"/>
          <w:color w:val="auto"/>
        </w:rPr>
        <w:t>one hundred percent (100%) of the Annual Restricted Stock Units will vest on the earlier of (i) the one-year anniversary of the date of grant and (ii) the date of the next annual meeting of the Company’s stockholders following the date of grant, subject to the Optionee continuing to be a Director through such date.</w:t>
      </w:r>
    </w:p>
    <w:p>
      <w:pPr>
        <w:spacing w:after="0" w:line="181" w:lineRule="exact"/>
        <w:rPr>
          <w:rFonts w:ascii="Arial" w:cs="Arial" w:eastAsia="Arial" w:hAnsi="Arial"/>
          <w:sz w:val="18"/>
          <w:szCs w:val="18"/>
          <w:color w:val="auto"/>
        </w:rPr>
      </w:pPr>
    </w:p>
    <w:p>
      <w:pPr>
        <w:ind w:left="3300" w:hanging="699"/>
        <w:spacing w:after="0"/>
        <w:tabs>
          <w:tab w:leader="none" w:pos="3300" w:val="left"/>
        </w:tabs>
        <w:numPr>
          <w:ilvl w:val="3"/>
          <w:numId w:val="74"/>
        </w:numPr>
        <w:rPr>
          <w:rFonts w:ascii="Arial" w:cs="Arial" w:eastAsia="Arial" w:hAnsi="Arial"/>
          <w:sz w:val="16"/>
          <w:szCs w:val="16"/>
          <w:color w:val="auto"/>
        </w:rPr>
      </w:pPr>
      <w:r>
        <w:rPr>
          <w:rFonts w:ascii="Arial" w:cs="Arial" w:eastAsia="Arial" w:hAnsi="Arial"/>
          <w:sz w:val="16"/>
          <w:szCs w:val="16"/>
          <w:color w:val="auto"/>
        </w:rPr>
        <w:t>each Restricted Stock Unit will represent the right to receive a Share and will be settled in Common Stock upon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vesting.</w:t>
      </w:r>
    </w:p>
    <w:p>
      <w:pPr>
        <w:spacing w:after="0" w:line="210" w:lineRule="exact"/>
        <w:rPr>
          <w:rFonts w:ascii="Arial" w:cs="Arial" w:eastAsia="Arial" w:hAnsi="Arial"/>
          <w:sz w:val="16"/>
          <w:szCs w:val="16"/>
          <w:color w:val="auto"/>
        </w:rPr>
      </w:pPr>
    </w:p>
    <w:p>
      <w:pPr>
        <w:ind w:left="3300" w:hanging="699"/>
        <w:spacing w:after="0"/>
        <w:tabs>
          <w:tab w:leader="none" w:pos="3300" w:val="left"/>
        </w:tabs>
        <w:numPr>
          <w:ilvl w:val="3"/>
          <w:numId w:val="74"/>
        </w:numPr>
        <w:rPr>
          <w:rFonts w:ascii="Arial" w:cs="Arial" w:eastAsia="Arial" w:hAnsi="Arial"/>
          <w:sz w:val="16"/>
          <w:szCs w:val="16"/>
          <w:color w:val="auto"/>
        </w:rPr>
      </w:pPr>
      <w:r>
        <w:rPr>
          <w:rFonts w:ascii="Arial" w:cs="Arial" w:eastAsia="Arial" w:hAnsi="Arial"/>
          <w:sz w:val="16"/>
          <w:szCs w:val="16"/>
          <w:color w:val="auto"/>
        </w:rPr>
        <w:t>Awards of Restricted Stock Units granted under this Section 15 will have such other terms and conditions as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 determines.</w:t>
      </w:r>
    </w:p>
    <w:p>
      <w:pPr>
        <w:spacing w:after="0" w:line="210" w:lineRule="exact"/>
        <w:rPr>
          <w:rFonts w:ascii="Arial" w:cs="Arial" w:eastAsia="Arial" w:hAnsi="Arial"/>
          <w:sz w:val="16"/>
          <w:szCs w:val="16"/>
          <w:color w:val="auto"/>
        </w:rPr>
      </w:pPr>
    </w:p>
    <w:p>
      <w:pPr>
        <w:ind w:right="20" w:firstLine="1305"/>
        <w:spacing w:after="0" w:line="264" w:lineRule="auto"/>
        <w:tabs>
          <w:tab w:leader="none" w:pos="2001"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Administrator in its discretion may change and otherwise revise the terms of Awards granted under this Section 15, including, without limitation, the number of Shares, exercise prices and other terms thereof, for Awards granted on or after the date the Administrator determines to make any such change or revision.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380" w:hanging="724"/>
        <w:spacing w:after="0"/>
        <w:tabs>
          <w:tab w:leader="none" w:pos="13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73" w:lineRule="auto"/>
        <w:tabs>
          <w:tab w:leader="none" w:pos="1991"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may (in its sole discretion) adjust the number and class of Shares that may be delivered under the Plan and/or the number, class, and price of Shares covered by each outstanding Award, and the numerical Share and unit limits set forth in Sections 3, 6, 7, 8, 9 and 15.</w:t>
      </w:r>
    </w:p>
    <w:p>
      <w:pPr>
        <w:spacing w:after="0" w:line="178" w:lineRule="exact"/>
        <w:rPr>
          <w:rFonts w:ascii="Arial" w:cs="Arial" w:eastAsia="Arial" w:hAnsi="Arial"/>
          <w:sz w:val="17"/>
          <w:szCs w:val="17"/>
          <w:color w:val="auto"/>
        </w:rPr>
      </w:pPr>
    </w:p>
    <w:p>
      <w:pPr>
        <w:ind w:right="140" w:firstLine="1305"/>
        <w:spacing w:after="0" w:line="264" w:lineRule="auto"/>
        <w:tabs>
          <w:tab w:leader="none" w:pos="2001"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1" w:lineRule="exact"/>
        <w:rPr>
          <w:rFonts w:ascii="Arial" w:cs="Arial" w:eastAsia="Arial" w:hAnsi="Arial"/>
          <w:sz w:val="18"/>
          <w:szCs w:val="18"/>
          <w:color w:val="auto"/>
        </w:rPr>
      </w:pPr>
    </w:p>
    <w:p>
      <w:pPr>
        <w:ind w:right="20" w:firstLine="1305"/>
        <w:spacing w:after="0" w:line="270" w:lineRule="auto"/>
        <w:tabs>
          <w:tab w:leader="none" w:pos="1991"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In the event of a Change in Control, each outstanding Award will be assumed or an equivalent option or right substituted by the successor corporation or a Parent or Subsidiary of the successor corporation. In the event that the successor corporation refuses to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will lapse, and, with respect to Performance Shares and Performance Units, all Performance Goals or other vesting criteria will be deemed achieved at target levels and all other terms and conditions met. In addition, if an Option or Stock Appreciation Right becomes fully vested and exercisable in lieu of assumption or substitution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-3281680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2"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With respect to Awards granted to Outside Directors that are assumed or substituted for, if on the date of or following such assumption or substitution the Participant’s status as a Director or a director of the successor corporation, as applicable, is terminated other than upon a voluntary resignation by the Participant, then the Participant will fully vest in and have the right to exercise Options and/or Stock Appreciation Rights as to all of the Shares subject thereto, including Shares as to which such Awards would not otherwise be vested or exercisable, all restrictions on Restricted Stock will lapse, and, with respect to Performance Shares and Performance Units, all Performance Goals or other vesting criteria will be deemed achieved at target levels and all other terms and conditions met.</w:t>
      </w:r>
    </w:p>
    <w:p>
      <w:pPr>
        <w:spacing w:after="0" w:line="193"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w:t>
      </w:r>
    </w:p>
    <w:p>
      <w:pPr>
        <w:sectPr>
          <w:pgSz w:w="11900" w:h="16935" w:orient="portrait"/>
          <w:cols w:equalWidth="0" w:num="1">
            <w:col w:w="11420"/>
          </w:cols>
          <w:pgMar w:left="240" w:top="125" w:right="239" w:bottom="0" w:gutter="0" w:footer="0" w:header="0"/>
        </w:sectPr>
      </w:pPr>
    </w:p>
    <w:bookmarkStart w:id="71" w:name="page72"/>
    <w:bookmarkEnd w:id="71"/>
    <w:p>
      <w:pPr>
        <w:ind w:right="60"/>
        <w:spacing w:after="0" w:line="253" w:lineRule="auto"/>
        <w:rPr>
          <w:sz w:val="20"/>
          <w:szCs w:val="20"/>
          <w:color w:val="auto"/>
        </w:rPr>
      </w:pPr>
      <w:r>
        <w:rPr>
          <w:rFonts w:ascii="Arial" w:cs="Arial" w:eastAsia="Arial" w:hAnsi="Arial"/>
          <w:sz w:val="18"/>
          <w:szCs w:val="18"/>
          <w:color w:val="auto"/>
        </w:rPr>
        <w:t>securities or property) or, in the case of a Stock Appreciation Right upon the exercise of which the Administrator determines to pay cash or a Performance Share or Performance Unit which the Administrator can determine to pay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Performance Share or Performance Unit, for each Share subject to such Award (or in the case of Performance Units, the number of implied shares determined by dividing the value of the Performance Units by the per share consideration received by holders of Common Stock in the Change in Control), to be solely common stock of the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corporation or its Parent equal in fair market value to the per share consideration received by holders of Common Stock in the Change in Control.</w:t>
      </w:r>
    </w:p>
    <w:p>
      <w:pPr>
        <w:spacing w:after="0" w:line="237"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Notwithstanding anything in this Section 16(c)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7" w:lineRule="exact"/>
        <w:rPr>
          <w:sz w:val="20"/>
          <w:szCs w:val="20"/>
          <w:color w:val="auto"/>
        </w:rPr>
      </w:pPr>
    </w:p>
    <w:p>
      <w:pPr>
        <w:ind w:left="1380" w:hanging="724"/>
        <w:spacing w:after="0"/>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Tax Withholding</w:t>
      </w:r>
    </w:p>
    <w:p>
      <w:pPr>
        <w:spacing w:after="0" w:line="225" w:lineRule="exact"/>
        <w:rPr>
          <w:rFonts w:ascii="Arial" w:cs="Arial" w:eastAsia="Arial" w:hAnsi="Arial"/>
          <w:sz w:val="18"/>
          <w:szCs w:val="18"/>
          <w:color w:val="auto"/>
        </w:rPr>
      </w:pPr>
    </w:p>
    <w:p>
      <w:pPr>
        <w:jc w:val="both"/>
        <w:ind w:right="160" w:firstLine="1305"/>
        <w:spacing w:after="0" w:line="312" w:lineRule="auto"/>
        <w:tabs>
          <w:tab w:leader="none" w:pos="1991"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46" w:lineRule="exact"/>
        <w:rPr>
          <w:rFonts w:ascii="Arial" w:cs="Arial" w:eastAsia="Arial" w:hAnsi="Arial"/>
          <w:sz w:val="16"/>
          <w:szCs w:val="16"/>
          <w:color w:val="auto"/>
        </w:rPr>
      </w:pPr>
    </w:p>
    <w:p>
      <w:pPr>
        <w:ind w:right="20" w:firstLine="1305"/>
        <w:spacing w:after="0" w:line="270" w:lineRule="auto"/>
        <w:tabs>
          <w:tab w:leader="none" w:pos="2001"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Withholding Arrangements</w:t>
      </w:r>
      <w:r>
        <w:rPr>
          <w:rFonts w:ascii="Arial" w:cs="Arial" w:eastAsia="Arial" w:hAnsi="Arial"/>
          <w:sz w:val="17"/>
          <w:szCs w:val="17"/>
          <w:color w:val="auto"/>
        </w:rPr>
        <w:t>. The Administrator, in its sole discretion and pursuant to such procedures as it may specify from time to time, may permit a Participant to satisfy such tax withholding obligation, in whole or in part by (a) paying cash, (b) electing to have the Company withhold otherwise deliverable cash or Shares having a Fair Market Value equal to the amount required to be withheld, (c) delivering to the Company already-owned Shares having a Fair Market Value equal to the amount required to be withheld, or (d)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81" w:lineRule="exact"/>
        <w:rPr>
          <w:rFonts w:ascii="Arial" w:cs="Arial" w:eastAsia="Arial" w:hAnsi="Arial"/>
          <w:sz w:val="17"/>
          <w:szCs w:val="17"/>
          <w:color w:val="auto"/>
        </w:rPr>
      </w:pPr>
    </w:p>
    <w:p>
      <w:pPr>
        <w:ind w:right="60" w:firstLine="656"/>
        <w:spacing w:after="0" w:line="264" w:lineRule="auto"/>
        <w:tabs>
          <w:tab w:leader="none" w:pos="136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81" w:lineRule="exact"/>
        <w:rPr>
          <w:rFonts w:ascii="Arial" w:cs="Arial" w:eastAsia="Arial" w:hAnsi="Arial"/>
          <w:sz w:val="18"/>
          <w:szCs w:val="18"/>
          <w:color w:val="auto"/>
        </w:rPr>
      </w:pPr>
    </w:p>
    <w:p>
      <w:pPr>
        <w:ind w:right="80" w:firstLine="656"/>
        <w:spacing w:after="0" w:line="264" w:lineRule="auto"/>
        <w:tabs>
          <w:tab w:leader="none" w:pos="136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81" w:lineRule="exact"/>
        <w:rPr>
          <w:rFonts w:ascii="Arial" w:cs="Arial" w:eastAsia="Arial" w:hAnsi="Arial"/>
          <w:sz w:val="18"/>
          <w:szCs w:val="18"/>
          <w:color w:val="auto"/>
        </w:rPr>
      </w:pPr>
    </w:p>
    <w:p>
      <w:pPr>
        <w:ind w:right="200" w:firstLine="656"/>
        <w:spacing w:after="0" w:line="277" w:lineRule="auto"/>
        <w:tabs>
          <w:tab w:leader="none" w:pos="136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24 of the Plan, the Plan will become effective upon its adoption by the Board. It will continue in effect for a term ending on December 31, 2010 unless terminated earlier under Section 21 of the Plan.</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225" w:lineRule="exact"/>
        <w:rPr>
          <w:rFonts w:ascii="Arial" w:cs="Arial" w:eastAsia="Arial" w:hAnsi="Arial"/>
          <w:sz w:val="18"/>
          <w:szCs w:val="18"/>
          <w:color w:val="auto"/>
        </w:rPr>
      </w:pPr>
    </w:p>
    <w:p>
      <w:pPr>
        <w:ind w:right="380" w:firstLine="1305"/>
        <w:spacing w:after="0" w:line="286" w:lineRule="auto"/>
        <w:tabs>
          <w:tab w:leader="none" w:pos="2001"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Company will obtain stockholder approval of any Plan amendment to the extent necessary and desirable to comply with Applicable Laws. Without limiting the foregoing sentence, the number of Shares available under the Plan pursuant to Section 3 herein may not be increased without approval of the Company’s stockholders, except as provided in Section 3.</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8" w:lineRule="exact"/>
        <w:rPr>
          <w:rFonts w:ascii="Arial" w:cs="Arial" w:eastAsia="Arial" w:hAnsi="Arial"/>
          <w:sz w:val="17"/>
          <w:szCs w:val="17"/>
          <w:color w:val="auto"/>
        </w:rPr>
      </w:pPr>
    </w:p>
    <w:p>
      <w:pPr>
        <w:ind w:right="60" w:firstLine="1305"/>
        <w:spacing w:after="0" w:line="259" w:lineRule="auto"/>
        <w:tabs>
          <w:tab w:leader="none" w:pos="1991"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6" w:lineRule="exact"/>
        <w:rPr>
          <w:rFonts w:ascii="Arial" w:cs="Arial" w:eastAsia="Arial" w:hAnsi="Arial"/>
          <w:sz w:val="18"/>
          <w:szCs w:val="18"/>
          <w:color w:val="auto"/>
        </w:rPr>
      </w:pPr>
    </w:p>
    <w:p>
      <w:pPr>
        <w:ind w:left="1380" w:hanging="724"/>
        <w:spacing w:after="0"/>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64" w:lineRule="auto"/>
        <w:tabs>
          <w:tab w:leader="none" w:pos="1991"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81" w:lineRule="exact"/>
        <w:rPr>
          <w:rFonts w:ascii="Arial" w:cs="Arial" w:eastAsia="Arial" w:hAnsi="Arial"/>
          <w:sz w:val="18"/>
          <w:szCs w:val="18"/>
          <w:color w:val="auto"/>
        </w:rPr>
      </w:pPr>
    </w:p>
    <w:p>
      <w:pPr>
        <w:ind w:right="160" w:firstLine="1305"/>
        <w:spacing w:after="0" w:line="286" w:lineRule="auto"/>
        <w:tabs>
          <w:tab w:leader="none" w:pos="2001"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5" w:lineRule="exact"/>
        <w:rPr>
          <w:rFonts w:ascii="Arial" w:cs="Arial" w:eastAsia="Arial" w:hAnsi="Arial"/>
          <w:sz w:val="17"/>
          <w:szCs w:val="17"/>
          <w:color w:val="auto"/>
        </w:rPr>
      </w:pPr>
    </w:p>
    <w:p>
      <w:pPr>
        <w:jc w:val="both"/>
        <w:ind w:right="460" w:firstLine="656"/>
        <w:spacing w:after="0" w:line="342" w:lineRule="auto"/>
        <w:tabs>
          <w:tab w:leader="none" w:pos="1368"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Inability to Obtain Authority</w:t>
      </w:r>
      <w:r>
        <w:rPr>
          <w:rFonts w:ascii="Arial" w:cs="Arial" w:eastAsia="Arial" w:hAnsi="Arial"/>
          <w:sz w:val="16"/>
          <w:szCs w:val="16"/>
          <w:color w:val="auto"/>
        </w:rPr>
        <w:t>. The inability of the Company to obtain authority from any regulatory body having jurisdiction, which authority is deemed by the Company’s counsel to be necessary to the lawful issuance and sale of any Shares hereunder, will relieve the Company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-2632075</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2" w:name="page73"/>
    <w:bookmarkEnd w:id="72"/>
    <w:p>
      <w:pPr>
        <w:spacing w:after="0" w:line="264" w:lineRule="auto"/>
        <w:rPr>
          <w:sz w:val="20"/>
          <w:szCs w:val="20"/>
          <w:color w:val="auto"/>
        </w:rPr>
      </w:pPr>
      <w:r>
        <w:rPr>
          <w:rFonts w:ascii="Arial" w:cs="Arial" w:eastAsia="Arial" w:hAnsi="Arial"/>
          <w:sz w:val="18"/>
          <w:szCs w:val="18"/>
          <w:color w:val="auto"/>
        </w:rPr>
        <w:t xml:space="preserve">liability in respect of the failure to issue or sell such Shares as to which such requisite authority will not have been obtained.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Plan will be subject to approval by the stockholders of the Company within twelve (12) months after the date the Plan is adopted. Such stockholder approval will be obtained in the manner and to the degree required under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10.14C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RESTRICTED STOCK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33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Unless otherwise defined herein, the terms defined in the 2005 Incentive Plan (the “Plan”) will have the same defined meanings in this Notice of Grant of Restricted Stock Units (the “Notice of Grant”).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Participant: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You have been granted the right to receive Restricted Stock Units (referred to in Section 9 of the Plan as “Performance Units”), subject to the terms and conditions of the Plan, this Notice of Grant and the Restricted Stock Unit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“Agreement”) as follows:</w:t>
      </w:r>
    </w:p>
    <w:p>
      <w:pPr>
        <w:spacing w:after="0" w:line="12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14605</wp:posOffset>
            </wp:positionV>
            <wp:extent cx="21355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1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14605</wp:posOffset>
            </wp:positionV>
            <wp:extent cx="21355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1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14605</wp:posOffset>
            </wp:positionV>
            <wp:extent cx="21355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1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Number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14605</wp:posOffset>
            </wp:positionV>
            <wp:extent cx="21355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1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Units</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ind w:right="140" w:firstLine="1305"/>
        <w:spacing w:after="0" w:line="258" w:lineRule="auto"/>
        <w:tabs>
          <w:tab w:leader="none" w:pos="163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Twenty-five percent (25%) of the Restricted Stock Units will vest and be issued to Participant on the one-year anniversary of the Vesting Commencement Date and as to 1/12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remaining Restricted Stock Units after each three-month period thereafter on the same day of the month as the Vesting Commencement Date (and if there is no corresponding day, on the last day of the month), subject to Participant continuing to be a Service Provider through such dates (the “Performance Period”). Subject to the paragraph (c) below, in the event Participant ceases to be a Service Provider for any or no reason before Participant vests in the right to acquire the Shares to be issued pursuant to the Restricted Stock Unit, the Restricted Stock Unit and Participant’s right to acquire any Shares hereunder will immediately terminate.</w:t>
      </w:r>
    </w:p>
    <w:p>
      <w:pPr>
        <w:spacing w:after="0" w:line="189" w:lineRule="exact"/>
        <w:rPr>
          <w:rFonts w:ascii="Arial" w:cs="Arial" w:eastAsia="Arial" w:hAnsi="Arial"/>
          <w:sz w:val="17"/>
          <w:szCs w:val="17"/>
          <w:color w:val="auto"/>
        </w:rPr>
      </w:pPr>
    </w:p>
    <w:p>
      <w:pPr>
        <w:ind w:right="40" w:firstLine="1305"/>
        <w:spacing w:after="0" w:line="259" w:lineRule="auto"/>
        <w:tabs>
          <w:tab w:leader="none" w:pos="164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General Release</w:t>
      </w:r>
      <w:r>
        <w:rPr>
          <w:rFonts w:ascii="Arial" w:cs="Arial" w:eastAsia="Arial" w:hAnsi="Arial"/>
          <w:sz w:val="18"/>
          <w:szCs w:val="18"/>
          <w:color w:val="auto"/>
        </w:rPr>
        <w:t>. Any other provision of this Notice of Grant, the Plan or the Agreement notwithstanding, Subsections (c) below shall not apply unless the Participant (i) has executed a general release in a form prescribed by the Company of all known and unknown claims that he may then have against the Company or persons affiliated with the Company, and (ii) has agreed not to prosecute any legal action or other proceeding based upon any of such claims.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9" w:lineRule="exact"/>
        <w:rPr>
          <w:rFonts w:ascii="Arial" w:cs="Arial" w:eastAsia="Arial" w:hAnsi="Arial"/>
          <w:sz w:val="18"/>
          <w:szCs w:val="18"/>
          <w:color w:val="auto"/>
        </w:rPr>
      </w:pPr>
    </w:p>
    <w:p>
      <w:pPr>
        <w:ind w:right="60" w:firstLine="1305"/>
        <w:spacing w:after="0" w:line="264" w:lineRule="auto"/>
        <w:tabs>
          <w:tab w:leader="none" w:pos="163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Upon a Change of Control</w:t>
      </w:r>
      <w:r>
        <w:rPr>
          <w:rFonts w:ascii="Arial" w:cs="Arial" w:eastAsia="Arial" w:hAnsi="Arial"/>
          <w:sz w:val="18"/>
          <w:szCs w:val="18"/>
          <w:color w:val="auto"/>
        </w:rPr>
        <w:t>. Notwithstanding paragraph (a) above, in the event of the occurrence of a Change of Control (as defined in the Employment Agreement) while Participant is employed by the Company, then Participant shall immediately vest in all outstanding Restricted Stock Units awarded pursuant to this 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-675005</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7"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By accepting this agreement online, you and the Company agree that this award is granted under and governed by the governed by the terms and conditions of the Plan and the Agreement, each of which are made a part of this document. You further agree to accept, acknowledge and execute this Agreement online as a condition to receiving any Restricted Stock Units under this Award.</w:t>
      </w:r>
    </w:p>
    <w:p>
      <w:pPr>
        <w:spacing w:after="0" w:line="162"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Nothing in this Notice or in the attached Agreement or in the Plan shall confer upon Participant any right to continue in Service for any period of specific duration or interfere with or otherwise restrict in any way the rights of the Company (or any Parent or Subsidiary employing or retaining Participant) or of Participant, which rights are hereby expressly reserved by each, to terminate Participant’s Service at any time for any reason,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597535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10.14D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RESTRICTED STOCK UNITS</w:t>
      </w:r>
    </w:p>
    <w:p>
      <w:pPr>
        <w:spacing w:after="0" w:line="333"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color w:val="auto"/>
        </w:rPr>
        <w:t>This Align Technology, Inc. Amendment to 2005 Incentive Plan Notice of Grant of Restricted Stock Units (the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March 8, 2007 by and between Align Technology, Inc., a Delaware corporation (the “</w:t>
      </w:r>
      <w:r>
        <w:rPr>
          <w:rFonts w:ascii="Arial" w:cs="Arial" w:eastAsia="Arial" w:hAnsi="Arial"/>
          <w:sz w:val="17"/>
          <w:szCs w:val="17"/>
          <w:b w:val="1"/>
          <w:bCs w:val="1"/>
          <w:color w:val="auto"/>
        </w:rPr>
        <w:t>Align</w:t>
      </w:r>
      <w:r>
        <w:rPr>
          <w:rFonts w:ascii="Arial" w:cs="Arial" w:eastAsia="Arial" w:hAnsi="Arial"/>
          <w:sz w:val="17"/>
          <w:szCs w:val="17"/>
          <w:color w:val="auto"/>
        </w:rPr>
        <w:t>”) and Thomas M. Prescott (the “</w:t>
      </w:r>
      <w:r>
        <w:rPr>
          <w:rFonts w:ascii="Arial" w:cs="Arial" w:eastAsia="Arial" w:hAnsi="Arial"/>
          <w:sz w:val="17"/>
          <w:szCs w:val="17"/>
          <w:b w:val="1"/>
          <w:bCs w:val="1"/>
          <w:color w:val="auto"/>
        </w:rPr>
        <w:t>Executive</w:t>
      </w:r>
      <w:r>
        <w:rPr>
          <w:rFonts w:ascii="Arial" w:cs="Arial" w:eastAsia="Arial" w:hAnsi="Arial"/>
          <w:sz w:val="17"/>
          <w:szCs w:val="17"/>
          <w:color w:val="auto"/>
        </w:rPr>
        <w:t>”).</w:t>
      </w:r>
    </w:p>
    <w:p>
      <w:pPr>
        <w:spacing w:after="0" w:line="246"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each of February 24, 2006 and February 20, 2007, the Executive received a grant of restricted stock units. Each of these grants was</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by a Notice of Grant of Restricted Stock Units and a Restricted Stock Unit Agreement issued by Align and accepted by the Executive (collectively, the “</w:t>
      </w:r>
      <w:r>
        <w:rPr>
          <w:rFonts w:ascii="Arial" w:cs="Arial" w:eastAsia="Arial" w:hAnsi="Arial"/>
          <w:sz w:val="18"/>
          <w:szCs w:val="18"/>
          <w:b w:val="1"/>
          <w:bCs w:val="1"/>
          <w:color w:val="auto"/>
        </w:rPr>
        <w:t>Original Award Agreements</w:t>
      </w:r>
      <w:r>
        <w:rPr>
          <w:rFonts w:ascii="Arial" w:cs="Arial" w:eastAsia="Arial" w:hAnsi="Arial"/>
          <w:sz w:val="18"/>
          <w:szCs w:val="18"/>
          <w:color w:val="auto"/>
        </w:rPr>
        <w:t>”).</w:t>
      </w:r>
    </w:p>
    <w:p>
      <w:pPr>
        <w:spacing w:after="0" w:line="284"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was subsequently determined that the provisions related to equity acceleration in the amended and restated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and between the Executive and Align and dated as of April 19, 2005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were inconsistent with the equity acceleration provisions in the Original Award Agreements.</w:t>
      </w:r>
    </w:p>
    <w:p>
      <w:pPr>
        <w:spacing w:after="0" w:line="284" w:lineRule="exact"/>
        <w:rPr>
          <w:sz w:val="20"/>
          <w:szCs w:val="20"/>
          <w:color w:val="auto"/>
        </w:rPr>
      </w:pPr>
    </w:p>
    <w:p>
      <w:pPr>
        <w:ind w:right="10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reflect the intent of the parties and to make the equity acceleration terms of the Original Award Agreements consistent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equity acceleration terms of the Employment Agreement, Align and the Executive desire to amend each of the Original Award Agreements.</w:t>
      </w:r>
    </w:p>
    <w:p>
      <w:pPr>
        <w:spacing w:after="0" w:line="24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set forth herein and in the Original Award Agreements, and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intending to be legally bound hereby, the parties agree as follows:</w:t>
      </w:r>
    </w:p>
    <w:p>
      <w:pPr>
        <w:spacing w:after="0" w:line="166" w:lineRule="exact"/>
        <w:rPr>
          <w:sz w:val="20"/>
          <w:szCs w:val="20"/>
          <w:color w:val="auto"/>
        </w:rPr>
      </w:pPr>
    </w:p>
    <w:p>
      <w:pPr>
        <w:ind w:left="1020" w:hanging="364"/>
        <w:spacing w:after="0"/>
        <w:tabs>
          <w:tab w:leader="none" w:pos="10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Paragraph (c) “Termination Without Cause or Good Reason” of each of the Original Award Agreements is deleted in its entirety, to read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[intentionally deleted]”</w:t>
      </w:r>
    </w:p>
    <w:p>
      <w:pPr>
        <w:spacing w:after="0" w:line="225" w:lineRule="exact"/>
        <w:rPr>
          <w:sz w:val="20"/>
          <w:szCs w:val="20"/>
          <w:color w:val="auto"/>
        </w:rPr>
      </w:pPr>
    </w:p>
    <w:p>
      <w:pPr>
        <w:ind w:left="1020" w:hanging="364"/>
        <w:spacing w:after="0"/>
        <w:tabs>
          <w:tab w:leader="none" w:pos="10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Paragraph (d) “Upon a Change of Control” of each of the Original Award Agreements is hereby amended in its entirety, to read as follows:</w:t>
      </w:r>
    </w:p>
    <w:p>
      <w:pPr>
        <w:spacing w:after="0" w:line="237" w:lineRule="exact"/>
        <w:rPr>
          <w:sz w:val="20"/>
          <w:szCs w:val="20"/>
          <w:color w:val="auto"/>
        </w:rPr>
      </w:pPr>
    </w:p>
    <w:p>
      <w:pPr>
        <w:jc w:val="both"/>
        <w:ind w:left="1640" w:right="80" w:hanging="334"/>
        <w:spacing w:after="0" w:line="264"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Upon a Change of Control</w:t>
      </w:r>
      <w:r>
        <w:rPr>
          <w:rFonts w:ascii="Arial" w:cs="Arial" w:eastAsia="Arial" w:hAnsi="Arial"/>
          <w:sz w:val="18"/>
          <w:szCs w:val="18"/>
          <w:color w:val="auto"/>
        </w:rPr>
        <w:t>. Notwithstanding paragraph (a) above, in the event of the occurrence of a Change of Control (as defined in the Employment Agreement) while Participant is employed by the Company, then Participant shall immediately vest in all outstanding Restricted Stock Units awarded pursuant to this Notice of Grant.”</w:t>
      </w:r>
    </w:p>
    <w:p>
      <w:pPr>
        <w:spacing w:after="0" w:line="181" w:lineRule="exact"/>
        <w:rPr>
          <w:sz w:val="20"/>
          <w:szCs w:val="20"/>
          <w:color w:val="auto"/>
        </w:rPr>
      </w:pPr>
    </w:p>
    <w:p>
      <w:pPr>
        <w:ind w:left="1020" w:hanging="364"/>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as amended hereby, each of the Original Award Agreements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each of the parties hereto has executed this Amendment effective as of the day and year first written above.</w:t>
      </w:r>
    </w:p>
    <w:p>
      <w:pPr>
        <w:spacing w:after="0" w:line="221"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ALIGN TECHNOLOGY, INC.,</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a Delaware corporation</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 Roger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17145</wp:posOffset>
            </wp:positionV>
            <wp:extent cx="23666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Roger E. George,</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Vice President, Corporate and Legal</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Affairs, General Counsel and Corporate</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Thomas M. Prescott, an individual</w:t>
      </w:r>
    </w:p>
    <w:p>
      <w:pPr>
        <w:spacing w:after="0" w:line="200" w:lineRule="exact"/>
        <w:rPr>
          <w:sz w:val="20"/>
          <w:szCs w:val="20"/>
          <w:color w:val="auto"/>
        </w:rPr>
      </w:pPr>
    </w:p>
    <w:p>
      <w:pPr>
        <w:spacing w:after="0" w:line="241"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17145</wp:posOffset>
            </wp:positionV>
            <wp:extent cx="23666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666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658495</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Subsidiaries of Align Technology,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principle subsidiaries as of December 31, 2006, are as follows: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—Align Technology De Costa Rica, SRL, Costa Rica</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—Align Technology, B.V.,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304165</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60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333-55020, No. 333-82874, No. 333-116912, No. 333-125586) of Align Technology, Inc. of our report dated March 12, 2007 relating to the financial statements, financial statement schedule, management’s assessment of the effectiveness of internal control over financial reporting and the effectiveness of internal control over financial reporting,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117" w:lineRule="exact"/>
        <w:rPr>
          <w:sz w:val="20"/>
          <w:szCs w:val="20"/>
          <w:color w:val="auto"/>
        </w:rPr>
      </w:pPr>
    </w:p>
    <w:p>
      <w:pPr>
        <w:ind w:left="380" w:hanging="372"/>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117" w:lineRule="exact"/>
        <w:rPr>
          <w:rFonts w:ascii="Arial" w:cs="Arial" w:eastAsia="Arial" w:hAnsi="Arial"/>
          <w:sz w:val="18"/>
          <w:szCs w:val="18"/>
          <w:color w:val="auto"/>
        </w:rPr>
      </w:pPr>
    </w:p>
    <w:p>
      <w:pPr>
        <w:ind w:left="360" w:right="80" w:hanging="352"/>
        <w:spacing w:after="0" w:line="342" w:lineRule="auto"/>
        <w:tabs>
          <w:tab w:leader="none" w:pos="364"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160" w:hanging="352"/>
        <w:spacing w:after="0" w:line="264" w:lineRule="auto"/>
        <w:tabs>
          <w:tab w:leader="none" w:pos="3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20" w:right="40" w:hanging="352"/>
        <w:spacing w:after="0" w:line="264" w:lineRule="auto"/>
        <w:tabs>
          <w:tab w:leader="none" w:pos="69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ind w:left="720" w:right="180" w:hanging="352"/>
        <w:spacing w:after="0" w:line="264" w:lineRule="auto"/>
        <w:tabs>
          <w:tab w:leader="none" w:pos="69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right="40" w:hanging="352"/>
        <w:spacing w:after="0" w:line="308" w:lineRule="auto"/>
        <w:tabs>
          <w:tab w:leader="none" w:pos="695"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720" w:right="60" w:hanging="352"/>
        <w:spacing w:after="0" w:line="264" w:lineRule="auto"/>
        <w:tabs>
          <w:tab w:leader="none" w:pos="69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60" w:right="280" w:hanging="352"/>
        <w:spacing w:after="0" w:line="308" w:lineRule="auto"/>
        <w:tabs>
          <w:tab w:leader="none" w:pos="36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20" w:right="400" w:hanging="352"/>
        <w:spacing w:after="0" w:line="277" w:lineRule="auto"/>
        <w:tabs>
          <w:tab w:leader="none" w:pos="69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hanging="352"/>
        <w:spacing w:after="0" w:line="277" w:lineRule="auto"/>
        <w:tabs>
          <w:tab w:leader="none" w:pos="691"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2007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M. PRESCOTT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Eldon M. Bullington, certify that:</w:t>
      </w:r>
    </w:p>
    <w:p>
      <w:pPr>
        <w:spacing w:after="0" w:line="117"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117" w:lineRule="exact"/>
        <w:rPr>
          <w:rFonts w:ascii="Arial" w:cs="Arial" w:eastAsia="Arial" w:hAnsi="Arial"/>
          <w:sz w:val="18"/>
          <w:szCs w:val="18"/>
          <w:color w:val="auto"/>
        </w:rPr>
      </w:pPr>
    </w:p>
    <w:p>
      <w:pPr>
        <w:jc w:val="both"/>
        <w:ind w:left="360" w:right="60" w:hanging="352"/>
        <w:spacing w:after="0" w:line="342" w:lineRule="auto"/>
        <w:tabs>
          <w:tab w:leader="none" w:pos="364"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160" w:hanging="352"/>
        <w:spacing w:after="0" w:line="264" w:lineRule="auto"/>
        <w:tabs>
          <w:tab w:leader="none" w:pos="3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20" w:right="40" w:hanging="352"/>
        <w:spacing w:after="0" w:line="264" w:lineRule="auto"/>
        <w:tabs>
          <w:tab w:leader="none" w:pos="695"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ind w:left="720" w:right="180" w:hanging="352"/>
        <w:spacing w:after="0" w:line="264" w:lineRule="auto"/>
        <w:tabs>
          <w:tab w:leader="none" w:pos="691"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right="40" w:hanging="352"/>
        <w:spacing w:after="0" w:line="308" w:lineRule="auto"/>
        <w:tabs>
          <w:tab w:leader="none" w:pos="695"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720" w:right="60" w:hanging="352"/>
        <w:spacing w:after="0" w:line="264" w:lineRule="auto"/>
        <w:tabs>
          <w:tab w:leader="none" w:pos="691"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60" w:right="280" w:hanging="352"/>
        <w:spacing w:after="0" w:line="308" w:lineRule="auto"/>
        <w:tabs>
          <w:tab w:leader="none" w:pos="36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20" w:right="400" w:hanging="352"/>
        <w:spacing w:after="0" w:line="277" w:lineRule="auto"/>
        <w:tabs>
          <w:tab w:leader="none" w:pos="69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sz w:val="20"/>
          <w:szCs w:val="20"/>
          <w:color w:val="auto"/>
        </w:rPr>
      </w:pPr>
    </w:p>
    <w:p>
      <w:pPr>
        <w:ind w:left="720" w:hanging="352"/>
        <w:spacing w:after="0" w:line="277"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2007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ELDON M. BULLINGTON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Eldon M.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right"/>
        <w:ind w:right="40"/>
        <w:spacing w:after="0"/>
        <w:rPr>
          <w:sz w:val="20"/>
          <w:szCs w:val="20"/>
          <w:color w:val="auto"/>
        </w:rPr>
      </w:pPr>
      <w:r>
        <w:rPr>
          <w:rFonts w:ascii="Arial" w:cs="Arial" w:eastAsia="Arial" w:hAnsi="Arial"/>
          <w:sz w:val="18"/>
          <w:szCs w:val="18"/>
          <w:b w:val="1"/>
          <w:bCs w:val="1"/>
          <w:color w:val="auto"/>
        </w:rPr>
        <w:t>Exhibit 32</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906 Certification</w:t>
      </w:r>
    </w:p>
    <w:p>
      <w:pPr>
        <w:spacing w:after="0" w:line="11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2003</w:t>
      </w:r>
    </w:p>
    <w:p>
      <w:pPr>
        <w:spacing w:after="0" w:line="103"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2003, that the Annual Report of Align Technology, Inc. on Form 10-K for the fiscal year ended December 31, 2006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960" w:type="dxa"/>
            <w:vAlign w:val="bottom"/>
          </w:tcPr>
          <w:p>
            <w:pPr>
              <w:ind w:left="20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 PRESCOTT</w:t>
            </w:r>
          </w:p>
        </w:tc>
      </w:tr>
      <w:tr>
        <w:trPr>
          <w:trHeight w:val="195"/>
        </w:trPr>
        <w:tc>
          <w:tcPr>
            <w:tcW w:w="3680" w:type="dxa"/>
            <w:vAlign w:val="bottom"/>
          </w:tcPr>
          <w:p>
            <w:pPr>
              <w:spacing w:after="0" w:line="195" w:lineRule="exact"/>
              <w:rPr>
                <w:sz w:val="20"/>
                <w:szCs w:val="20"/>
                <w:color w:val="auto"/>
              </w:rPr>
            </w:pPr>
            <w:r>
              <w:rPr>
                <w:rFonts w:ascii="Arial" w:cs="Arial" w:eastAsia="Arial" w:hAnsi="Arial"/>
                <w:sz w:val="18"/>
                <w:szCs w:val="18"/>
                <w:color w:val="auto"/>
              </w:rPr>
              <w:t>Date: March 12, 2007</w:t>
            </w:r>
          </w:p>
        </w:tc>
        <w:tc>
          <w:tcPr>
            <w:tcW w:w="296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Thomas M. Prescott</w:t>
            </w:r>
          </w:p>
        </w:tc>
      </w:tr>
      <w:tr>
        <w:trPr>
          <w:trHeight w:val="230"/>
        </w:trPr>
        <w:tc>
          <w:tcPr>
            <w:tcW w:w="3680" w:type="dxa"/>
            <w:vAlign w:val="bottom"/>
          </w:tcPr>
          <w:p>
            <w:pPr>
              <w:spacing w:after="0"/>
              <w:rPr>
                <w:sz w:val="20"/>
                <w:szCs w:val="20"/>
                <w:color w:val="auto"/>
              </w:rPr>
            </w:pPr>
          </w:p>
        </w:tc>
        <w:tc>
          <w:tcPr>
            <w:tcW w:w="2960" w:type="dxa"/>
            <w:vAlign w:val="bottom"/>
          </w:tcPr>
          <w:p>
            <w:pPr>
              <w:ind w:left="204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256"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I, Eldon M. Bullington, certify, pursuant to 18 U.S.C. Section 1350, as adopted pursuant to Section 906 of the Sarbanes-Oxley Act of 2003, that the Annual Report of Align Technology, Inc. on Form 10-K for the fiscal year ended December 31, 2006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ELDON M. BULLINGTON</w:t>
            </w:r>
          </w:p>
        </w:tc>
        <w:tc>
          <w:tcPr>
            <w:tcW w:w="40" w:type="dxa"/>
            <w:vAlign w:val="bottom"/>
          </w:tcPr>
          <w:p>
            <w:pPr>
              <w:spacing w:after="0"/>
              <w:rPr>
                <w:sz w:val="20"/>
                <w:szCs w:val="20"/>
                <w:color w:val="auto"/>
              </w:rPr>
            </w:pP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rPr>
              <w:t>Date: March 12, 2007</w:t>
            </w:r>
          </w:p>
        </w:tc>
        <w:tc>
          <w:tcPr>
            <w:tcW w:w="298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Eldon M. Bullington</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i w:val="1"/>
                <w:iCs w:val="1"/>
                <w:color w:val="auto"/>
              </w:rPr>
              <w:t>Chief Financial Officer and Vice President, Finance</w:t>
            </w:r>
          </w:p>
        </w:tc>
        <w:tc>
          <w:tcPr>
            <w:tcW w:w="40" w:type="dxa"/>
            <w:vAlign w:val="bottom"/>
          </w:tcPr>
          <w:p>
            <w:pPr>
              <w:spacing w:after="0"/>
              <w:rPr>
                <w:sz w:val="20"/>
                <w:szCs w:val="20"/>
                <w:color w:val="auto"/>
              </w:rPr>
            </w:pPr>
          </w:p>
        </w:tc>
      </w:tr>
      <w:tr>
        <w:trPr>
          <w:trHeight w:val="645"/>
        </w:trPr>
        <w:tc>
          <w:tcPr>
            <w:tcW w:w="3660" w:type="dxa"/>
            <w:vAlign w:val="bottom"/>
            <w:tcBorders>
              <w:bottom w:val="single" w:sz="8" w:color="010101"/>
            </w:tcBorders>
          </w:tcPr>
          <w:p>
            <w:pPr>
              <w:spacing w:after="0"/>
              <w:rPr>
                <w:sz w:val="24"/>
                <w:szCs w:val="24"/>
                <w:color w:val="auto"/>
              </w:rPr>
            </w:pPr>
          </w:p>
        </w:tc>
        <w:tc>
          <w:tcPr>
            <w:tcW w:w="2980" w:type="dxa"/>
            <w:vAlign w:val="bottom"/>
            <w:tcBorders>
              <w:bottom w:val="single" w:sz="8" w:color="010101"/>
            </w:tcBorders>
          </w:tcPr>
          <w:p>
            <w:pPr>
              <w:spacing w:after="0"/>
              <w:rPr>
                <w:sz w:val="24"/>
                <w:szCs w:val="24"/>
                <w:color w:val="auto"/>
              </w:rPr>
            </w:pPr>
          </w:p>
        </w:tc>
        <w:tc>
          <w:tcPr>
            <w:tcW w:w="4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x"/>
      <w:numFmt w:val="bullet"/>
      <w:start w:val="1"/>
    </w:lvl>
  </w:abstractNum>
  <w:abstractNum w:abstractNumId="1">
    <w:nsid w:val="6A2342EC"/>
    <w:multiLevelType w:val="hybridMultilevel"/>
    <w:lvl w:ilvl="0">
      <w:lvlJc w:val="left"/>
      <w:lvlText w:val="o"/>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1)"/>
      <w:numFmt w:val="lowerLetter"/>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decimal"/>
      <w:start w:val="2"/>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1."/>
      <w:numFmt w:val="decimal"/>
      <w:start w:val="2"/>
    </w:lvl>
  </w:abstractNum>
  <w:abstractNum w:abstractNumId="41">
    <w:nsid w:val="7E0C57B1"/>
    <w:multiLevelType w:val="hybridMultilevel"/>
    <w:lvl w:ilvl="0">
      <w:lvlJc w:val="left"/>
      <w:lvlText w:val="%1."/>
      <w:numFmt w:val="decimal"/>
      <w:start w:val="4"/>
    </w:lvl>
  </w:abstractNum>
  <w:abstractNum w:abstractNumId="42">
    <w:nsid w:val="77AE35EB"/>
    <w:multiLevelType w:val="hybridMultilevel"/>
    <w:lvl w:ilvl="0">
      <w:lvlJc w:val="left"/>
      <w:lvlText w:val="(%1)"/>
      <w:numFmt w:val="lowerLetter"/>
      <w:start w:val="1"/>
    </w:lvl>
  </w:abstractNum>
  <w:abstractNum w:abstractNumId="43">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4">
    <w:nsid w:val="310C50B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5">
    <w:nsid w:val="5FF87E05"/>
    <w:multiLevelType w:val="hybridMultilevel"/>
    <w:lvl w:ilvl="0">
      <w:lvlJc w:val="left"/>
      <w:lvlText w:val="%1."/>
      <w:numFmt w:val="decimal"/>
      <w:start w:val="13"/>
    </w:lvl>
    <w:lvl w:ilvl="1">
      <w:lvlJc w:val="left"/>
      <w:lvlText w:val="(%2)"/>
      <w:numFmt w:val="lowerRoman"/>
      <w:start w:val="1"/>
    </w:lvl>
  </w:abstractNum>
  <w:abstractNum w:abstractNumId="46">
    <w:nsid w:val="2F305DEF"/>
    <w:multiLevelType w:val="hybridMultilevel"/>
    <w:lvl w:ilvl="0">
      <w:lvlJc w:val="left"/>
      <w:lvlText w:val="%1."/>
      <w:numFmt w:val="decimal"/>
      <w:start w:val="1"/>
    </w:lvl>
    <w:lvl w:ilvl="1">
      <w:lvlJc w:val="left"/>
      <w:lvlText w:val="·"/>
      <w:numFmt w:val="bullet"/>
      <w:start w:val="1"/>
    </w:lvl>
  </w:abstractNum>
  <w:abstractNum w:abstractNumId="47">
    <w:nsid w:val="25A70BF7"/>
    <w:multiLevelType w:val="hybridMultilevel"/>
    <w:lvl w:ilvl="0">
      <w:lvlJc w:val="left"/>
      <w:lvlText w:val="%1."/>
      <w:numFmt w:val="decimal"/>
      <w:start w:val="2"/>
    </w:lvl>
    <w:lvl w:ilvl="1">
      <w:lvlJc w:val="left"/>
      <w:lvlText w:val="(%2)"/>
      <w:numFmt w:val="lowerLetter"/>
      <w:start w:val="1"/>
    </w:lvl>
  </w:abstractNum>
  <w:abstractNum w:abstractNumId="48">
    <w:nsid w:val="1DBABF00"/>
    <w:multiLevelType w:val="hybridMultilevel"/>
    <w:lvl w:ilvl="0">
      <w:lvlJc w:val="left"/>
      <w:lvlText w:val="(%1)"/>
      <w:numFmt w:val="lowerLetter"/>
      <w:start w:val="2"/>
    </w:lvl>
    <w:lvl w:ilvl="1">
      <w:lvlJc w:val="left"/>
      <w:lvlText w:val="(%2)"/>
      <w:numFmt w:val="lowerRoman"/>
      <w:start w:val="1"/>
    </w:lvl>
  </w:abstractNum>
  <w:abstractNum w:abstractNumId="49">
    <w:nsid w:val="4AD084E9"/>
    <w:multiLevelType w:val="hybridMultilevel"/>
    <w:lvl w:ilvl="0">
      <w:lvlJc w:val="left"/>
      <w:lvlText w:val="(%1)"/>
      <w:numFmt w:val="lowerLetter"/>
      <w:start w:val="10"/>
    </w:lvl>
  </w:abstractNum>
  <w:abstractNum w:abstractNumId="50">
    <w:nsid w:val="1F48EAA1"/>
    <w:multiLevelType w:val="hybridMultilevel"/>
    <w:lvl w:ilvl="0">
      <w:lvlJc w:val="left"/>
      <w:lvlText w:val="(%1)"/>
      <w:numFmt w:val="lowerLetter"/>
      <w:start w:val="27"/>
    </w:lvl>
  </w:abstractNum>
  <w:abstractNum w:abstractNumId="51">
    <w:nsid w:val="1381823A"/>
    <w:multiLevelType w:val="hybridMultilevel"/>
    <w:lvl w:ilvl="0">
      <w:lvlJc w:val="left"/>
      <w:lvlText w:val="(%1)"/>
      <w:numFmt w:val="lowerLetter"/>
      <w:start w:val="30"/>
    </w:lvl>
  </w:abstractNum>
  <w:abstractNum w:abstractNumId="52">
    <w:nsid w:val="5DB70AE5"/>
    <w:multiLevelType w:val="hybridMultilevel"/>
    <w:lvl w:ilvl="0">
      <w:lvlJc w:val="left"/>
      <w:lvlText w:val="%1"/>
      <w:numFmt w:val="decimal"/>
      <w:start w:val="1"/>
    </w:lvl>
    <w:lvl w:ilvl="1">
      <w:lvlJc w:val="left"/>
      <w:lvlText w:val="(%2)"/>
      <w:numFmt w:val="lowerLetter"/>
      <w:start w:val="36"/>
    </w:lvl>
    <w:lvl w:ilvl="2">
      <w:lvlJc w:val="left"/>
      <w:lvlText w:val="%3"/>
      <w:numFmt w:val="lowerRoman"/>
      <w:start w:val="1"/>
    </w:lvl>
  </w:abstractNum>
  <w:abstractNum w:abstractNumId="53">
    <w:nsid w:val="100F8FC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4">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decimal"/>
      <w:start w:val="1"/>
    </w:lvl>
  </w:abstractNum>
  <w:abstractNum w:abstractNumId="55">
    <w:nsid w:val="15014AC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56">
    <w:nsid w:val="5F5E7FD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7">
    <w:nsid w:val="98A314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58">
    <w:nsid w:val="799D024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lowerLetter"/>
      <w:start w:val="1"/>
    </w:lvl>
  </w:abstractNum>
  <w:abstractNum w:abstractNumId="59">
    <w:nsid w:val="6B94764"/>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lvl w:ilvl="3">
      <w:lvlJc w:val="left"/>
      <w:lvlText w:val="%4"/>
      <w:numFmt w:val="lowerLetter"/>
      <w:start w:val="1"/>
    </w:lvl>
  </w:abstractNum>
  <w:abstractNum w:abstractNumId="60">
    <w:nsid w:val="42C296BD"/>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61">
    <w:nsid w:val="168E121F"/>
    <w:multiLevelType w:val="hybridMultilevel"/>
    <w:lvl w:ilvl="0">
      <w:lvlJc w:val="left"/>
      <w:lvlText w:val="(%1)"/>
      <w:numFmt w:val="lowerRoman"/>
      <w:start w:val="2"/>
    </w:lvl>
  </w:abstractNum>
  <w:abstractNum w:abstractNumId="62">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3">
    <w:nsid w:val="661E3F1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4">
    <w:nsid w:val="5DC79EA8"/>
    <w:multiLevelType w:val="hybridMultilevel"/>
    <w:lvl w:ilvl="0">
      <w:lvlJc w:val="left"/>
      <w:lvlText w:val="(%1)"/>
      <w:numFmt w:val="lowerLetter"/>
      <w:start w:val="3"/>
    </w:lvl>
  </w:abstractNum>
  <w:abstractNum w:abstractNumId="65">
    <w:nsid w:val="540A471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66">
    <w:nsid w:val="7BD3EE7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7">
    <w:nsid w:val="51D9C564"/>
    <w:multiLevelType w:val="hybridMultilevel"/>
    <w:lvl w:ilvl="0">
      <w:lvlJc w:val="left"/>
      <w:lvlText w:val="%1."/>
      <w:numFmt w:val="decimal"/>
      <w:start w:val="9"/>
    </w:lvl>
    <w:lvl w:ilvl="1">
      <w:lvlJc w:val="left"/>
      <w:lvlText w:val="(%2)"/>
      <w:numFmt w:val="lowerLetter"/>
      <w:start w:val="1"/>
    </w:lvl>
  </w:abstractNum>
  <w:abstractNum w:abstractNumId="68">
    <w:nsid w:val="613EFDC5"/>
    <w:multiLevelType w:val="hybridMultilevel"/>
    <w:lvl w:ilvl="0">
      <w:lvlJc w:val="left"/>
      <w:lvlText w:val="(%1)"/>
      <w:numFmt w:val="lowerLetter"/>
      <w:start w:val="3"/>
    </w:lvl>
  </w:abstractNum>
  <w:abstractNum w:abstractNumId="69">
    <w:nsid w:val="BF72B1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70">
    <w:nsid w:val="11447B73"/>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71">
    <w:nsid w:val="42963E5A"/>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1"/>
    </w:lvl>
    <w:lvl w:ilvl="3">
      <w:lvlJc w:val="left"/>
      <w:lvlText w:val="(%4)"/>
      <w:numFmt w:val="lowerLetter"/>
      <w:start w:val="9"/>
    </w:lvl>
  </w:abstractNum>
  <w:abstractNum w:abstractNumId="72">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73">
    <w:nsid w:val="8F2B15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74">
    <w:nsid w:val="1A32234B"/>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5">
    <w:nsid w:val="3B0FD379"/>
    <w:multiLevelType w:val="hybridMultilevel"/>
    <w:lvl w:ilvl="0">
      <w:lvlJc w:val="left"/>
      <w:lvlText w:val="%1."/>
      <w:numFmt w:val="decimal"/>
      <w:start w:val="17"/>
    </w:lvl>
    <w:lvl w:ilvl="1">
      <w:lvlJc w:val="left"/>
      <w:lvlText w:val="(%2)"/>
      <w:numFmt w:val="lowerLetter"/>
      <w:start w:val="1"/>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decimal"/>
      <w:start w:val="2"/>
    </w:lvl>
  </w:abstractNum>
  <w:abstractNum w:abstractNumId="78">
    <w:nsid w:val="60B6DF70"/>
    <w:multiLevelType w:val="hybridMultilevel"/>
    <w:lvl w:ilvl="0">
      <w:lvlJc w:val="left"/>
      <w:lvlText w:val="%1."/>
      <w:numFmt w:val="decimal"/>
      <w:start w:val="3"/>
    </w:lvl>
  </w:abstractNum>
  <w:abstractNum w:abstractNumId="79">
    <w:nsid w:val="6A5EE64"/>
    <w:multiLevelType w:val="hybridMultilevel"/>
    <w:lvl w:ilvl="0">
      <w:lvlJc w:val="left"/>
      <w:lvlText w:val="%1."/>
      <w:numFmt w:val="decimal"/>
      <w:start w:val="4"/>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2019-12-15T01:09:33Z</dcterms:created>
  <dcterms:modified xsi:type="dcterms:W3CDTF">2019-12-15T01:09:33Z</dcterms:modified>
</cp:coreProperties>
</file>